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95C65">
      <w:pPr>
        <w:adjustRightInd w:val="0"/>
        <w:snapToGrid w:val="0"/>
        <w:jc w:val="center"/>
        <w:outlineLvl w:val="0"/>
        <w:rPr>
          <w:rFonts w:hint="default" w:ascii="Times New Roman" w:hAnsi="Times New Roman" w:eastAsia="宋体" w:cs="Times New Roman"/>
          <w:bCs/>
          <w:color w:val="000000" w:themeColor="text1"/>
          <w:sz w:val="52"/>
          <w:szCs w:val="52"/>
          <w:highlight w:val="none"/>
          <w14:textFill>
            <w14:solidFill>
              <w14:schemeClr w14:val="tx1"/>
            </w14:solidFill>
          </w14:textFill>
        </w:rPr>
      </w:pPr>
      <w:bookmarkStart w:id="0" w:name="_Hlk69213328"/>
    </w:p>
    <w:p w14:paraId="2CCBDC6D">
      <w:pPr>
        <w:adjustRightInd w:val="0"/>
        <w:snapToGrid w:val="0"/>
        <w:jc w:val="center"/>
        <w:outlineLvl w:val="0"/>
        <w:rPr>
          <w:rFonts w:hint="default" w:ascii="Times New Roman" w:hAnsi="Times New Roman" w:eastAsia="宋体" w:cs="Times New Roman"/>
          <w:bCs/>
          <w:color w:val="000000" w:themeColor="text1"/>
          <w:sz w:val="52"/>
          <w:szCs w:val="52"/>
          <w:highlight w:val="none"/>
          <w14:textFill>
            <w14:solidFill>
              <w14:schemeClr w14:val="tx1"/>
            </w14:solidFill>
          </w14:textFill>
        </w:rPr>
      </w:pPr>
      <w:r>
        <w:rPr>
          <w:rFonts w:hint="default" w:ascii="Times New Roman" w:hAnsi="Times New Roman" w:eastAsia="宋体" w:cs="Times New Roman"/>
          <w:bCs/>
          <w:color w:val="000000" w:themeColor="text1"/>
          <w:sz w:val="52"/>
          <w:szCs w:val="52"/>
          <w:highlight w:val="none"/>
          <w14:textFill>
            <w14:solidFill>
              <w14:schemeClr w14:val="tx1"/>
            </w14:solidFill>
          </w14:textFill>
        </w:rPr>
        <w:t>建设项目环境影响报告表</w:t>
      </w:r>
    </w:p>
    <w:p w14:paraId="73C7A5E7">
      <w:pPr>
        <w:adjustRightInd w:val="0"/>
        <w:snapToGrid w:val="0"/>
        <w:spacing w:before="192" w:beforeLines="80"/>
        <w:jc w:val="center"/>
        <w:rPr>
          <w:rFonts w:hint="default" w:ascii="Times New Roman" w:hAnsi="Times New Roman" w:eastAsia="宋体" w:cs="Times New Roman"/>
          <w:bCs/>
          <w:color w:val="000000" w:themeColor="text1"/>
          <w:sz w:val="52"/>
          <w:szCs w:val="52"/>
          <w:highlight w:val="none"/>
          <w14:textFill>
            <w14:solidFill>
              <w14:schemeClr w14:val="tx1"/>
            </w14:solidFill>
          </w14:textFill>
        </w:rPr>
      </w:pPr>
      <w:r>
        <w:rPr>
          <w:rFonts w:hint="default" w:ascii="Times New Roman" w:hAnsi="Times New Roman" w:eastAsia="宋体" w:cs="Times New Roman"/>
          <w:bCs/>
          <w:color w:val="000000" w:themeColor="text1"/>
          <w:sz w:val="52"/>
          <w:szCs w:val="52"/>
          <w:highlight w:val="none"/>
          <w14:textFill>
            <w14:solidFill>
              <w14:schemeClr w14:val="tx1"/>
            </w14:solidFill>
          </w14:textFill>
        </w:rPr>
        <w:t>（污染影响类）</w:t>
      </w:r>
    </w:p>
    <w:p w14:paraId="3E6CD7C6">
      <w:pPr>
        <w:adjustRightInd w:val="0"/>
        <w:snapToGrid w:val="0"/>
        <w:spacing w:before="192" w:beforeLines="80"/>
        <w:jc w:val="center"/>
        <w:rPr>
          <w:rFonts w:hint="default" w:ascii="Times New Roman" w:hAnsi="Times New Roman" w:eastAsia="宋体" w:cs="Times New Roman"/>
          <w:bCs/>
          <w:color w:val="000000" w:themeColor="text1"/>
          <w:sz w:val="52"/>
          <w:szCs w:val="52"/>
          <w:highlight w:val="none"/>
          <w14:textFill>
            <w14:solidFill>
              <w14:schemeClr w14:val="tx1"/>
            </w14:solidFill>
          </w14:textFill>
        </w:rPr>
      </w:pPr>
    </w:p>
    <w:p w14:paraId="645F2646">
      <w:pPr>
        <w:adjustRightInd w:val="0"/>
        <w:snapToGrid w:val="0"/>
        <w:spacing w:before="192" w:beforeLines="80"/>
        <w:jc w:val="center"/>
        <w:rPr>
          <w:rFonts w:hint="default" w:ascii="Times New Roman" w:hAnsi="Times New Roman" w:eastAsia="宋体" w:cs="Times New Roman"/>
          <w:bCs/>
          <w:color w:val="000000" w:themeColor="text1"/>
          <w:sz w:val="52"/>
          <w:szCs w:val="52"/>
          <w:highlight w:val="none"/>
          <w14:textFill>
            <w14:solidFill>
              <w14:schemeClr w14:val="tx1"/>
            </w14:solidFill>
          </w14:textFill>
        </w:rPr>
      </w:pPr>
    </w:p>
    <w:p w14:paraId="2E76A3F7">
      <w:pPr>
        <w:adjustRightInd w:val="0"/>
        <w:snapToGrid w:val="0"/>
        <w:spacing w:before="192" w:beforeLines="80"/>
        <w:jc w:val="center"/>
        <w:rPr>
          <w:rFonts w:hint="default" w:ascii="Times New Roman" w:hAnsi="Times New Roman" w:eastAsia="宋体" w:cs="Times New Roman"/>
          <w:bCs/>
          <w:color w:val="000000" w:themeColor="text1"/>
          <w:sz w:val="52"/>
          <w:szCs w:val="52"/>
          <w:highlight w:val="none"/>
          <w14:textFill>
            <w14:solidFill>
              <w14:schemeClr w14:val="tx1"/>
            </w14:solidFill>
          </w14:textFill>
        </w:rPr>
      </w:pPr>
    </w:p>
    <w:p w14:paraId="368E26C4">
      <w:pPr>
        <w:adjustRightInd w:val="0"/>
        <w:snapToGrid w:val="0"/>
        <w:spacing w:before="192" w:beforeLines="80"/>
        <w:jc w:val="center"/>
        <w:rPr>
          <w:rFonts w:hint="default" w:ascii="Times New Roman" w:hAnsi="Times New Roman" w:eastAsia="宋体" w:cs="Times New Roman"/>
          <w:bCs/>
          <w:color w:val="000000" w:themeColor="text1"/>
          <w:sz w:val="52"/>
          <w:szCs w:val="52"/>
          <w:highlight w:val="none"/>
          <w14:textFill>
            <w14:solidFill>
              <w14:schemeClr w14:val="tx1"/>
            </w14:solidFill>
          </w14:textFill>
        </w:rPr>
      </w:pPr>
    </w:p>
    <w:p w14:paraId="75320816">
      <w:pPr>
        <w:adjustRightInd w:val="0"/>
        <w:snapToGrid w:val="0"/>
        <w:spacing w:line="720" w:lineRule="auto"/>
        <w:ind w:left="3238" w:leftChars="342" w:hanging="2520" w:hangingChars="700"/>
        <w:jc w:val="both"/>
        <w:rPr>
          <w:rFonts w:hint="default" w:ascii="Times New Roman" w:hAnsi="Times New Roman" w:eastAsia="宋体" w:cs="Times New Roman"/>
          <w:color w:val="000000" w:themeColor="text1"/>
          <w:sz w:val="36"/>
          <w:szCs w:val="36"/>
          <w:highlight w:val="none"/>
          <w:u w:val="single"/>
          <w:lang w:val="en-US" w:eastAsia="zh-CN"/>
          <w14:textFill>
            <w14:solidFill>
              <w14:schemeClr w14:val="tx1"/>
            </w14:solidFill>
          </w14:textFill>
        </w:rPr>
      </w:pPr>
      <w:r>
        <w:rPr>
          <w:rFonts w:hint="default" w:ascii="Times New Roman" w:hAnsi="Times New Roman" w:eastAsia="宋体" w:cs="Times New Roman"/>
          <w:color w:val="000000" w:themeColor="text1"/>
          <w:sz w:val="36"/>
          <w:szCs w:val="36"/>
          <w:highlight w:val="none"/>
          <w14:textFill>
            <w14:solidFill>
              <w14:schemeClr w14:val="tx1"/>
            </w14:solidFill>
          </w14:textFill>
        </w:rPr>
        <w:t>项目名称：</w:t>
      </w:r>
      <w:r>
        <w:rPr>
          <w:rFonts w:hint="default" w:ascii="Times New Roman" w:hAnsi="Times New Roman" w:eastAsia="宋体" w:cs="Times New Roman"/>
          <w:color w:val="000000" w:themeColor="text1"/>
          <w:sz w:val="36"/>
          <w:szCs w:val="36"/>
          <w:highlight w:val="none"/>
          <w:u w:val="single"/>
          <w:lang w:val="en-US" w:eastAsia="zh-CN"/>
          <w14:textFill>
            <w14:solidFill>
              <w14:schemeClr w14:val="tx1"/>
            </w14:solidFill>
          </w14:textFill>
        </w:rPr>
        <w:t xml:space="preserve">    </w:t>
      </w:r>
      <w:r>
        <w:rPr>
          <w:rFonts w:hint="eastAsia" w:cs="Times New Roman"/>
          <w:color w:val="000000" w:themeColor="text1"/>
          <w:sz w:val="36"/>
          <w:szCs w:val="36"/>
          <w:highlight w:val="none"/>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6"/>
          <w:szCs w:val="36"/>
          <w:highlight w:val="none"/>
          <w:u w:val="single"/>
          <w14:textFill>
            <w14:solidFill>
              <w14:schemeClr w14:val="tx1"/>
            </w14:solidFill>
          </w14:textFill>
        </w:rPr>
        <w:t>江苏华电吴江热电有限公司</w:t>
      </w:r>
      <w:r>
        <w:rPr>
          <w:rFonts w:hint="eastAsia" w:cs="Times New Roman"/>
          <w:color w:val="000000" w:themeColor="text1"/>
          <w:sz w:val="36"/>
          <w:szCs w:val="36"/>
          <w:highlight w:val="none"/>
          <w:u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6"/>
          <w:szCs w:val="36"/>
          <w:highlight w:val="none"/>
          <w:u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6"/>
          <w:szCs w:val="36"/>
          <w:highlight w:val="none"/>
          <w:u w:val="single"/>
          <w:lang w:val="en-US" w:eastAsia="zh-CN"/>
          <w14:textFill>
            <w14:solidFill>
              <w14:schemeClr w14:val="tx1"/>
            </w14:solidFill>
          </w14:textFill>
        </w:rPr>
        <w:t xml:space="preserve">       </w:t>
      </w:r>
    </w:p>
    <w:p w14:paraId="43E278E8">
      <w:pPr>
        <w:adjustRightInd w:val="0"/>
        <w:snapToGrid w:val="0"/>
        <w:spacing w:line="720" w:lineRule="auto"/>
        <w:ind w:left="3232" w:leftChars="1539" w:firstLine="0" w:firstLineChars="0"/>
        <w:jc w:val="both"/>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r>
        <w:rPr>
          <w:rFonts w:hint="eastAsia" w:cs="Times New Roman"/>
          <w:color w:val="000000" w:themeColor="text1"/>
          <w:sz w:val="36"/>
          <w:szCs w:val="36"/>
          <w:highlight w:val="none"/>
          <w:u w:val="single"/>
          <w:lang w:eastAsia="zh-CN"/>
          <w14:textFill>
            <w14:solidFill>
              <w14:schemeClr w14:val="tx1"/>
            </w14:solidFill>
          </w14:textFill>
        </w:rPr>
        <w:t>天然气锅炉改造项目</w:t>
      </w:r>
    </w:p>
    <w:p w14:paraId="3490F27B">
      <w:pPr>
        <w:adjustRightInd w:val="0"/>
        <w:snapToGrid w:val="0"/>
        <w:spacing w:line="720" w:lineRule="auto"/>
        <w:jc w:val="center"/>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r>
        <w:rPr>
          <w:rFonts w:hint="default" w:ascii="Times New Roman" w:hAnsi="Times New Roman" w:eastAsia="宋体" w:cs="Times New Roman"/>
          <w:color w:val="000000" w:themeColor="text1"/>
          <w:sz w:val="36"/>
          <w:szCs w:val="36"/>
          <w:highlight w:val="none"/>
          <w14:textFill>
            <w14:solidFill>
              <w14:schemeClr w14:val="tx1"/>
            </w14:solidFill>
          </w14:textFill>
        </w:rPr>
        <w:t>建设单位（盖章）：</w:t>
      </w:r>
      <w:r>
        <w:rPr>
          <w:rFonts w:hint="default" w:ascii="Times New Roman" w:hAnsi="Times New Roman" w:eastAsia="宋体" w:cs="Times New Roman"/>
          <w:color w:val="000000" w:themeColor="text1"/>
          <w:sz w:val="36"/>
          <w:szCs w:val="36"/>
          <w:highlight w:val="none"/>
          <w:u w:val="single"/>
          <w14:textFill>
            <w14:solidFill>
              <w14:schemeClr w14:val="tx1"/>
            </w14:solidFill>
          </w14:textFill>
        </w:rPr>
        <w:t>江苏华电吴江热电有限公司</w:t>
      </w:r>
    </w:p>
    <w:p w14:paraId="306DC5DC">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14:textFill>
            <w14:solidFill>
              <w14:schemeClr w14:val="tx1"/>
            </w14:solidFill>
          </w14:textFill>
        </w:rPr>
      </w:pPr>
    </w:p>
    <w:p w14:paraId="54508A05">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14:textFill>
            <w14:solidFill>
              <w14:schemeClr w14:val="tx1"/>
            </w14:solidFill>
          </w14:textFill>
        </w:rPr>
      </w:pPr>
    </w:p>
    <w:p w14:paraId="67E0BA29">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14:textFill>
            <w14:solidFill>
              <w14:schemeClr w14:val="tx1"/>
            </w14:solidFill>
          </w14:textFill>
        </w:rPr>
      </w:pPr>
    </w:p>
    <w:p w14:paraId="0FEF3AAF">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14:textFill>
            <w14:solidFill>
              <w14:schemeClr w14:val="tx1"/>
            </w14:solidFill>
          </w14:textFill>
        </w:rPr>
      </w:pPr>
    </w:p>
    <w:p w14:paraId="7494B164">
      <w:pPr>
        <w:adjustRightInd w:val="0"/>
        <w:snapToGrid w:val="0"/>
        <w:spacing w:line="288" w:lineRule="auto"/>
        <w:ind w:firstLine="2520" w:firstLineChars="700"/>
        <w:jc w:val="both"/>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r>
        <w:rPr>
          <w:rFonts w:hint="default" w:ascii="Times New Roman" w:hAnsi="Times New Roman" w:eastAsia="宋体" w:cs="Times New Roman"/>
          <w:color w:val="000000" w:themeColor="text1"/>
          <w:sz w:val="36"/>
          <w:szCs w:val="36"/>
          <w:highlight w:val="none"/>
          <w14:textFill>
            <w14:solidFill>
              <w14:schemeClr w14:val="tx1"/>
            </w14:solidFill>
          </w14:textFill>
        </w:rPr>
        <w:t>编制日期：</w:t>
      </w:r>
      <w:r>
        <w:rPr>
          <w:rFonts w:hint="default" w:ascii="Times New Roman" w:hAnsi="Times New Roman" w:eastAsia="宋体" w:cs="Times New Roman"/>
          <w:color w:val="000000" w:themeColor="text1"/>
          <w:sz w:val="36"/>
          <w:szCs w:val="36"/>
          <w:highlight w:val="none"/>
          <w:u w:val="single"/>
          <w14:textFill>
            <w14:solidFill>
              <w14:schemeClr w14:val="tx1"/>
            </w14:solidFill>
          </w14:textFill>
        </w:rPr>
        <w:t>2025年</w:t>
      </w:r>
      <w:r>
        <w:rPr>
          <w:rFonts w:hint="eastAsia" w:cs="Times New Roman"/>
          <w:color w:val="000000" w:themeColor="text1"/>
          <w:sz w:val="36"/>
          <w:szCs w:val="36"/>
          <w:highlight w:val="none"/>
          <w:u w:val="single"/>
          <w:lang w:val="en-US" w:eastAsia="zh-CN"/>
          <w14:textFill>
            <w14:solidFill>
              <w14:schemeClr w14:val="tx1"/>
            </w14:solidFill>
          </w14:textFill>
        </w:rPr>
        <w:t>6</w:t>
      </w:r>
      <w:r>
        <w:rPr>
          <w:rFonts w:hint="default" w:ascii="Times New Roman" w:hAnsi="Times New Roman" w:eastAsia="宋体" w:cs="Times New Roman"/>
          <w:color w:val="000000" w:themeColor="text1"/>
          <w:sz w:val="36"/>
          <w:szCs w:val="36"/>
          <w:highlight w:val="none"/>
          <w:u w:val="single"/>
          <w14:textFill>
            <w14:solidFill>
              <w14:schemeClr w14:val="tx1"/>
            </w14:solidFill>
          </w14:textFill>
        </w:rPr>
        <w:t>月</w:t>
      </w:r>
    </w:p>
    <w:p w14:paraId="171EF367">
      <w:pPr>
        <w:adjustRightInd w:val="0"/>
        <w:snapToGrid w:val="0"/>
        <w:spacing w:line="288" w:lineRule="auto"/>
        <w:ind w:firstLine="360" w:firstLineChars="100"/>
        <w:jc w:val="center"/>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p>
    <w:p w14:paraId="58FD4977">
      <w:pPr>
        <w:adjustRightInd w:val="0"/>
        <w:snapToGrid w:val="0"/>
        <w:spacing w:line="288" w:lineRule="auto"/>
        <w:jc w:val="center"/>
        <w:rPr>
          <w:rFonts w:hint="default" w:ascii="Times New Roman" w:hAnsi="Times New Roman" w:eastAsia="宋体" w:cs="Times New Roman"/>
          <w:color w:val="000000" w:themeColor="text1"/>
          <w:sz w:val="32"/>
          <w:szCs w:val="32"/>
          <w:highlight w:val="none"/>
          <w14:textFill>
            <w14:solidFill>
              <w14:schemeClr w14:val="tx1"/>
            </w14:solidFill>
          </w14:textFill>
        </w:rPr>
      </w:pPr>
      <w:r>
        <w:rPr>
          <w:rFonts w:hint="default" w:ascii="Times New Roman" w:hAnsi="Times New Roman" w:eastAsia="宋体" w:cs="Times New Roman"/>
          <w:color w:val="000000" w:themeColor="text1"/>
          <w:sz w:val="32"/>
          <w:szCs w:val="32"/>
          <w:highlight w:val="none"/>
          <w14:textFill>
            <w14:solidFill>
              <w14:schemeClr w14:val="tx1"/>
            </w14:solidFill>
          </w14:textFill>
        </w:rPr>
        <w:t>中华人民共和国生态环境部制</w:t>
      </w:r>
    </w:p>
    <w:p w14:paraId="6F893E30">
      <w:pPr>
        <w:pStyle w:val="33"/>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0"/>
          <w:cols w:space="720" w:num="1"/>
          <w:titlePg/>
          <w:docGrid w:linePitch="312" w:charSpace="0"/>
        </w:sectPr>
      </w:pPr>
    </w:p>
    <w:p w14:paraId="65853D07">
      <w:pPr>
        <w:pStyle w:val="33"/>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一、建设项目基本情况</w:t>
      </w:r>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67"/>
        <w:gridCol w:w="1276"/>
        <w:gridCol w:w="2163"/>
        <w:gridCol w:w="2212"/>
        <w:gridCol w:w="2606"/>
      </w:tblGrid>
      <w:tr w14:paraId="254CC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5800E1C8">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建设项目名称</w:t>
            </w:r>
          </w:p>
        </w:tc>
        <w:tc>
          <w:tcPr>
            <w:tcW w:w="6981" w:type="dxa"/>
            <w:gridSpan w:val="3"/>
            <w:vAlign w:val="center"/>
          </w:tcPr>
          <w:p w14:paraId="1AB24682">
            <w:pPr>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江苏华电吴江热电有限公司</w:t>
            </w:r>
            <w:r>
              <w:rPr>
                <w:rFonts w:hint="eastAsia" w:cs="Times New Roman"/>
                <w:color w:val="000000" w:themeColor="text1"/>
                <w:sz w:val="21"/>
                <w:szCs w:val="21"/>
                <w:highlight w:val="none"/>
                <w:lang w:eastAsia="zh-CN"/>
                <w14:textFill>
                  <w14:solidFill>
                    <w14:schemeClr w14:val="tx1"/>
                  </w14:solidFill>
                </w14:textFill>
              </w:rPr>
              <w:t>天然气锅炉改造项目</w:t>
            </w:r>
          </w:p>
        </w:tc>
      </w:tr>
      <w:tr w14:paraId="79AA7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00AAFCFD">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项目代码</w:t>
            </w:r>
          </w:p>
        </w:tc>
        <w:tc>
          <w:tcPr>
            <w:tcW w:w="6981" w:type="dxa"/>
            <w:gridSpan w:val="3"/>
            <w:vAlign w:val="center"/>
          </w:tcPr>
          <w:p w14:paraId="75008A42">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2505-320567-89-02-342108</w:t>
            </w:r>
          </w:p>
        </w:tc>
      </w:tr>
      <w:tr w14:paraId="607AA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42943B13">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建设单位联系人</w:t>
            </w:r>
          </w:p>
        </w:tc>
        <w:tc>
          <w:tcPr>
            <w:tcW w:w="2163" w:type="dxa"/>
            <w:vAlign w:val="center"/>
          </w:tcPr>
          <w:p w14:paraId="2D47E2A7">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212" w:type="dxa"/>
            <w:vAlign w:val="center"/>
          </w:tcPr>
          <w:p w14:paraId="40957950">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联系方式</w:t>
            </w:r>
          </w:p>
        </w:tc>
        <w:tc>
          <w:tcPr>
            <w:tcW w:w="2606" w:type="dxa"/>
            <w:vAlign w:val="center"/>
          </w:tcPr>
          <w:p w14:paraId="6C4FF1C0">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bookmarkStart w:id="10" w:name="_GoBack"/>
            <w:bookmarkEnd w:id="10"/>
          </w:p>
        </w:tc>
      </w:tr>
      <w:tr w14:paraId="04683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6B96F855">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建设地点</w:t>
            </w:r>
          </w:p>
        </w:tc>
        <w:tc>
          <w:tcPr>
            <w:tcW w:w="6981" w:type="dxa"/>
            <w:gridSpan w:val="3"/>
            <w:vAlign w:val="center"/>
          </w:tcPr>
          <w:p w14:paraId="26B3C6B3">
            <w:pPr>
              <w:adjustRightInd w:val="0"/>
              <w:snapToGrid w:val="0"/>
              <w:jc w:val="cente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江苏省</w:t>
            </w:r>
            <w:r>
              <w:rPr>
                <w:rFonts w:hint="default" w:ascii="Times New Roman" w:hAnsi="Times New Roman" w:eastAsia="宋体" w:cs="Times New Roman"/>
                <w:color w:val="000000" w:themeColor="text1"/>
                <w:sz w:val="21"/>
                <w:szCs w:val="21"/>
                <w:highlight w:val="none"/>
                <w14:textFill>
                  <w14:solidFill>
                    <w14:schemeClr w14:val="tx1"/>
                  </w14:solidFill>
                </w14:textFill>
              </w:rPr>
              <w:t>苏州市吴江区平望镇平运路39号</w:t>
            </w:r>
          </w:p>
        </w:tc>
      </w:tr>
      <w:tr w14:paraId="64016E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6E21D45E">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地理坐标</w:t>
            </w:r>
          </w:p>
        </w:tc>
        <w:tc>
          <w:tcPr>
            <w:tcW w:w="6981" w:type="dxa"/>
            <w:gridSpan w:val="3"/>
            <w:vAlign w:val="center"/>
          </w:tcPr>
          <w:p w14:paraId="1BB55DF5">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东经120</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u w:val="single"/>
                <w:lang w:val="en-US" w:eastAsia="zh-CN"/>
                <w14:textFill>
                  <w14:solidFill>
                    <w14:schemeClr w14:val="tx1"/>
                  </w14:solidFill>
                </w14:textFill>
              </w:rPr>
              <w:t>37</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default" w:ascii="Times New Roman" w:hAnsi="Times New Roman" w:eastAsia="宋体" w:cs="Times New Roman"/>
                <w:color w:val="000000" w:themeColor="text1"/>
                <w:sz w:val="21"/>
                <w:szCs w:val="21"/>
                <w:highlight w:val="none"/>
                <w:u w:val="single"/>
                <w:lang w:val="en-US" w:eastAsia="zh-CN"/>
                <w14:textFill>
                  <w14:solidFill>
                    <w14:schemeClr w14:val="tx1"/>
                  </w14:solidFill>
                </w14:textFill>
              </w:rPr>
              <w:t>49.12</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 xml:space="preserve"> 北纬</w:t>
            </w:r>
            <w:r>
              <w:rPr>
                <w:rFonts w:hint="default" w:ascii="Times New Roman" w:hAnsi="Times New Roman" w:eastAsia="宋体" w:cs="Times New Roman"/>
                <w:color w:val="000000" w:themeColor="text1"/>
                <w:sz w:val="21"/>
                <w:szCs w:val="21"/>
                <w:highlight w:val="none"/>
                <w:u w:val="single"/>
                <w:lang w:val="en-US" w:eastAsia="zh-CN"/>
                <w14:textFill>
                  <w14:solidFill>
                    <w14:schemeClr w14:val="tx1"/>
                  </w14:solidFill>
                </w14:textFill>
              </w:rPr>
              <w:t>30</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u w:val="single"/>
                <w:lang w:val="en-US" w:eastAsia="zh-CN"/>
                <w14:textFill>
                  <w14:solidFill>
                    <w14:schemeClr w14:val="tx1"/>
                  </w14:solidFill>
                </w14:textFill>
              </w:rPr>
              <w:t>50</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default" w:ascii="Times New Roman" w:hAnsi="Times New Roman" w:eastAsia="宋体" w:cs="Times New Roman"/>
                <w:color w:val="000000" w:themeColor="text1"/>
                <w:sz w:val="21"/>
                <w:szCs w:val="21"/>
                <w:highlight w:val="none"/>
                <w:u w:val="single"/>
                <w:lang w:val="en-US" w:eastAsia="zh-CN"/>
                <w14:textFill>
                  <w14:solidFill>
                    <w14:schemeClr w14:val="tx1"/>
                  </w14:solidFill>
                </w14:textFill>
              </w:rPr>
              <w:t>30.58</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p>
        </w:tc>
      </w:tr>
      <w:tr w14:paraId="66E10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843" w:type="dxa"/>
            <w:gridSpan w:val="2"/>
            <w:tcMar>
              <w:top w:w="16" w:type="dxa"/>
              <w:left w:w="16" w:type="dxa"/>
              <w:right w:w="16" w:type="dxa"/>
            </w:tcMar>
            <w:vAlign w:val="center"/>
          </w:tcPr>
          <w:p w14:paraId="2F56B89A">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国民经济</w:t>
            </w:r>
          </w:p>
          <w:p w14:paraId="2F85C3ED">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行业类别</w:t>
            </w:r>
          </w:p>
        </w:tc>
        <w:tc>
          <w:tcPr>
            <w:tcW w:w="2163" w:type="dxa"/>
            <w:vAlign w:val="center"/>
          </w:tcPr>
          <w:p w14:paraId="62BBF620">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D4430热力生产和供应</w:t>
            </w:r>
          </w:p>
        </w:tc>
        <w:tc>
          <w:tcPr>
            <w:tcW w:w="2212" w:type="dxa"/>
            <w:vAlign w:val="center"/>
          </w:tcPr>
          <w:p w14:paraId="3DB77D32">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bookmarkStart w:id="1" w:name="_Hlk49843745"/>
            <w:r>
              <w:rPr>
                <w:rFonts w:hint="default" w:ascii="Times New Roman" w:hAnsi="Times New Roman" w:eastAsia="宋体" w:cs="Times New Roman"/>
                <w:color w:val="000000" w:themeColor="text1"/>
                <w:sz w:val="21"/>
                <w:szCs w:val="21"/>
                <w:highlight w:val="none"/>
                <w14:textFill>
                  <w14:solidFill>
                    <w14:schemeClr w14:val="tx1"/>
                  </w14:solidFill>
                </w14:textFill>
              </w:rPr>
              <w:t>建设项目</w:t>
            </w:r>
          </w:p>
          <w:p w14:paraId="61C40F14">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行业类别</w:t>
            </w:r>
            <w:bookmarkEnd w:id="1"/>
          </w:p>
        </w:tc>
        <w:tc>
          <w:tcPr>
            <w:tcW w:w="2606" w:type="dxa"/>
            <w:vAlign w:val="center"/>
          </w:tcPr>
          <w:p w14:paraId="4B1A6599">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四十一、电力、热力生产和供应业91 热力生产和供应工程（包括建设单位自建自用的供热工程）</w:t>
            </w:r>
          </w:p>
        </w:tc>
      </w:tr>
      <w:tr w14:paraId="3F2B6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43" w:type="dxa"/>
            <w:gridSpan w:val="2"/>
            <w:tcMar>
              <w:top w:w="16" w:type="dxa"/>
              <w:left w:w="16" w:type="dxa"/>
              <w:right w:w="16" w:type="dxa"/>
            </w:tcMar>
            <w:vAlign w:val="center"/>
          </w:tcPr>
          <w:p w14:paraId="04677D52">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建设性质</w:t>
            </w:r>
          </w:p>
        </w:tc>
        <w:tc>
          <w:tcPr>
            <w:tcW w:w="2163" w:type="dxa"/>
            <w:vAlign w:val="center"/>
          </w:tcPr>
          <w:p w14:paraId="681C029F">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□新建</w:t>
            </w:r>
          </w:p>
          <w:p w14:paraId="0E82879B">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14:textFill>
                  <w14:solidFill>
                    <w14:schemeClr w14:val="tx1"/>
                  </w14:solidFill>
                </w14:textFill>
              </w:rPr>
              <w:t>改建</w:t>
            </w:r>
          </w:p>
          <w:p w14:paraId="4059FAFA">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扩建</w:t>
            </w:r>
          </w:p>
          <w:p w14:paraId="0A0E90EA">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□技术改造</w:t>
            </w:r>
          </w:p>
        </w:tc>
        <w:tc>
          <w:tcPr>
            <w:tcW w:w="2212" w:type="dxa"/>
            <w:vAlign w:val="center"/>
          </w:tcPr>
          <w:p w14:paraId="10E070CD">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建设项目</w:t>
            </w:r>
          </w:p>
          <w:p w14:paraId="00DCBA5D">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申报情形</w:t>
            </w:r>
          </w:p>
        </w:tc>
        <w:tc>
          <w:tcPr>
            <w:tcW w:w="2606" w:type="dxa"/>
            <w:vAlign w:val="center"/>
          </w:tcPr>
          <w:p w14:paraId="0D763843">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sym w:font="Wingdings 2" w:char="F052"/>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首次申报项目             </w:t>
            </w:r>
          </w:p>
          <w:p w14:paraId="46059B56">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□不予批准后再次申报项目</w:t>
            </w:r>
          </w:p>
          <w:p w14:paraId="41EF542D">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□超五年重新审核项目     </w:t>
            </w:r>
          </w:p>
          <w:p w14:paraId="5D18AF02">
            <w:pPr>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□重大变动重新报批项目</w:t>
            </w:r>
          </w:p>
        </w:tc>
      </w:tr>
      <w:tr w14:paraId="737369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843" w:type="dxa"/>
            <w:gridSpan w:val="2"/>
            <w:tcMar>
              <w:top w:w="16" w:type="dxa"/>
              <w:left w:w="16" w:type="dxa"/>
              <w:right w:w="16" w:type="dxa"/>
            </w:tcMar>
            <w:vAlign w:val="center"/>
          </w:tcPr>
          <w:p w14:paraId="3971E742">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项目审批（核准/</w:t>
            </w:r>
          </w:p>
          <w:p w14:paraId="3C0155EB">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备案）部门（选填）</w:t>
            </w:r>
          </w:p>
        </w:tc>
        <w:tc>
          <w:tcPr>
            <w:tcW w:w="2163" w:type="dxa"/>
            <w:vAlign w:val="center"/>
          </w:tcPr>
          <w:p w14:paraId="5CB7C4EE">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苏州市吴江区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平望</w:t>
            </w:r>
            <w:r>
              <w:rPr>
                <w:rFonts w:hint="default" w:ascii="Times New Roman" w:hAnsi="Times New Roman" w:eastAsia="宋体" w:cs="Times New Roman"/>
                <w:color w:val="000000" w:themeColor="text1"/>
                <w:sz w:val="21"/>
                <w:szCs w:val="21"/>
                <w:highlight w:val="none"/>
                <w14:textFill>
                  <w14:solidFill>
                    <w14:schemeClr w14:val="tx1"/>
                  </w14:solidFill>
                </w14:textFill>
              </w:rPr>
              <w:t>镇人民政府</w:t>
            </w:r>
          </w:p>
        </w:tc>
        <w:tc>
          <w:tcPr>
            <w:tcW w:w="2212" w:type="dxa"/>
            <w:vAlign w:val="center"/>
          </w:tcPr>
          <w:p w14:paraId="6A2B8B0C">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项目审批（核准/备案）文号（选填）</w:t>
            </w:r>
          </w:p>
        </w:tc>
        <w:tc>
          <w:tcPr>
            <w:tcW w:w="2606" w:type="dxa"/>
            <w:vAlign w:val="center"/>
          </w:tcPr>
          <w:p w14:paraId="77D41B5B">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平政备〔2025〕</w:t>
            </w:r>
            <w:r>
              <w:rPr>
                <w:rFonts w:hint="eastAsia" w:cs="Times New Roman"/>
                <w:color w:val="000000" w:themeColor="text1"/>
                <w:sz w:val="21"/>
                <w:szCs w:val="21"/>
                <w:highlight w:val="none"/>
                <w:shd w:val="clear" w:color="auto" w:fill="auto"/>
                <w:lang w:val="en-US" w:eastAsia="zh-CN"/>
                <w14:textFill>
                  <w14:solidFill>
                    <w14:schemeClr w14:val="tx1"/>
                  </w14:solidFill>
                </w14:textFill>
              </w:rPr>
              <w:t>72</w:t>
            </w: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 xml:space="preserve"> 号</w:t>
            </w:r>
          </w:p>
        </w:tc>
      </w:tr>
      <w:tr w14:paraId="771C2C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008B3B56">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总投资（万元）</w:t>
            </w:r>
          </w:p>
        </w:tc>
        <w:tc>
          <w:tcPr>
            <w:tcW w:w="2163" w:type="dxa"/>
            <w:vAlign w:val="center"/>
          </w:tcPr>
          <w:p w14:paraId="2D43BAE5">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3500</w:t>
            </w:r>
          </w:p>
        </w:tc>
        <w:tc>
          <w:tcPr>
            <w:tcW w:w="2212" w:type="dxa"/>
            <w:tcMar>
              <w:top w:w="16" w:type="dxa"/>
              <w:left w:w="16" w:type="dxa"/>
              <w:right w:w="16" w:type="dxa"/>
            </w:tcMar>
            <w:vAlign w:val="center"/>
          </w:tcPr>
          <w:p w14:paraId="56424538">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环保投资（万元）</w:t>
            </w:r>
          </w:p>
        </w:tc>
        <w:tc>
          <w:tcPr>
            <w:tcW w:w="2606" w:type="dxa"/>
            <w:vAlign w:val="center"/>
          </w:tcPr>
          <w:p w14:paraId="10151617">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210</w:t>
            </w:r>
          </w:p>
        </w:tc>
      </w:tr>
      <w:tr w14:paraId="0EE198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32089200">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环保投资占比（%）</w:t>
            </w:r>
          </w:p>
        </w:tc>
        <w:tc>
          <w:tcPr>
            <w:tcW w:w="2163" w:type="dxa"/>
            <w:vAlign w:val="center"/>
          </w:tcPr>
          <w:p w14:paraId="5C8E4CA4">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2212" w:type="dxa"/>
            <w:tcMar>
              <w:top w:w="16" w:type="dxa"/>
              <w:left w:w="16" w:type="dxa"/>
              <w:right w:w="16" w:type="dxa"/>
            </w:tcMar>
            <w:vAlign w:val="center"/>
          </w:tcPr>
          <w:p w14:paraId="36A71936">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施工工期</w:t>
            </w:r>
          </w:p>
        </w:tc>
        <w:tc>
          <w:tcPr>
            <w:tcW w:w="2606" w:type="dxa"/>
            <w:vAlign w:val="center"/>
          </w:tcPr>
          <w:p w14:paraId="10B149EC">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个月</w:t>
            </w:r>
          </w:p>
        </w:tc>
      </w:tr>
      <w:tr w14:paraId="3D2C2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43" w:type="dxa"/>
            <w:gridSpan w:val="2"/>
            <w:tcMar>
              <w:top w:w="16" w:type="dxa"/>
              <w:left w:w="16" w:type="dxa"/>
              <w:right w:w="16" w:type="dxa"/>
            </w:tcMar>
            <w:vAlign w:val="center"/>
          </w:tcPr>
          <w:p w14:paraId="1D630541">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是否开工建设</w:t>
            </w:r>
          </w:p>
        </w:tc>
        <w:tc>
          <w:tcPr>
            <w:tcW w:w="2163" w:type="dxa"/>
            <w:vAlign w:val="center"/>
          </w:tcPr>
          <w:p w14:paraId="65FFE49B">
            <w:pPr>
              <w:adjustRightInd w:val="0"/>
              <w:snapToGrid w:val="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14:textFill>
                  <w14:solidFill>
                    <w14:schemeClr w14:val="tx1"/>
                  </w14:solidFill>
                </w14:textFill>
              </w:rPr>
              <w:t>否</w:t>
            </w:r>
          </w:p>
          <w:p w14:paraId="6A21AF80">
            <w:pPr>
              <w:adjustRightInd w:val="0"/>
              <w:snapToGrid w:val="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14:textFill>
                  <w14:solidFill>
                    <w14:schemeClr w14:val="tx1"/>
                  </w14:solidFill>
                </w14:textFill>
              </w:rPr>
              <w:t>是：</w:t>
            </w:r>
            <w:r>
              <w:rPr>
                <w:rFonts w:hint="default" w:ascii="Times New Roman" w:hAnsi="Times New Roman" w:eastAsia="宋体" w:cs="Times New Roman"/>
                <w:color w:val="000000" w:themeColor="text1"/>
                <w:sz w:val="21"/>
                <w:szCs w:val="21"/>
                <w:highlight w:val="none"/>
                <w:u w:val="single"/>
                <w14:textFill>
                  <w14:solidFill>
                    <w14:schemeClr w14:val="tx1"/>
                  </w14:solidFill>
                </w14:textFill>
              </w:rPr>
              <w:t xml:space="preserve">            </w:t>
            </w:r>
          </w:p>
        </w:tc>
        <w:tc>
          <w:tcPr>
            <w:tcW w:w="2212" w:type="dxa"/>
            <w:tcMar>
              <w:top w:w="16" w:type="dxa"/>
              <w:left w:w="16" w:type="dxa"/>
              <w:right w:w="16" w:type="dxa"/>
            </w:tcMar>
            <w:vAlign w:val="center"/>
          </w:tcPr>
          <w:p w14:paraId="43CE1B79">
            <w:pPr>
              <w:adjustRightInd w:val="0"/>
              <w:snapToGrid w:val="0"/>
              <w:jc w:val="cente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t>用地（用海）</w:t>
            </w:r>
          </w:p>
          <w:p w14:paraId="0D5F373A">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t>面积（m</w:t>
            </w:r>
            <w:r>
              <w:rPr>
                <w:rFonts w:hint="default" w:ascii="Times New Roman" w:hAnsi="Times New Roman" w:eastAsia="宋体" w:cs="Times New Roman"/>
                <w:color w:val="000000" w:themeColor="text1"/>
                <w:spacing w:val="-6"/>
                <w:sz w:val="21"/>
                <w:szCs w:val="2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t>）</w:t>
            </w:r>
          </w:p>
        </w:tc>
        <w:tc>
          <w:tcPr>
            <w:tcW w:w="2606" w:type="dxa"/>
            <w:vAlign w:val="center"/>
          </w:tcPr>
          <w:p w14:paraId="250CB474">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971.4</w:t>
            </w:r>
          </w:p>
        </w:tc>
      </w:tr>
      <w:tr w14:paraId="74E363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43" w:type="dxa"/>
            <w:gridSpan w:val="2"/>
            <w:vAlign w:val="center"/>
          </w:tcPr>
          <w:p w14:paraId="6D76BB18">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专项评价设置情况</w:t>
            </w:r>
          </w:p>
        </w:tc>
        <w:tc>
          <w:tcPr>
            <w:tcW w:w="6981" w:type="dxa"/>
            <w:gridSpan w:val="3"/>
            <w:vAlign w:val="center"/>
          </w:tcPr>
          <w:p w14:paraId="415DDB58">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无</w:t>
            </w:r>
          </w:p>
        </w:tc>
      </w:tr>
      <w:tr w14:paraId="268850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843" w:type="dxa"/>
            <w:gridSpan w:val="2"/>
            <w:vAlign w:val="center"/>
          </w:tcPr>
          <w:p w14:paraId="0B2E601E">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规划情况</w:t>
            </w:r>
          </w:p>
        </w:tc>
        <w:tc>
          <w:tcPr>
            <w:tcW w:w="6981" w:type="dxa"/>
            <w:gridSpan w:val="3"/>
            <w:vAlign w:val="center"/>
          </w:tcPr>
          <w:p w14:paraId="3AB0435C">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规划名称：</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苏州市吴江区国土空间总体规划（2021-2035年）</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53147BDA">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审批机关：</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江苏省</w:t>
            </w:r>
            <w:r>
              <w:rPr>
                <w:rFonts w:hint="default" w:ascii="Times New Roman" w:hAnsi="Times New Roman" w:eastAsia="宋体" w:cs="Times New Roman"/>
                <w:color w:val="000000" w:themeColor="text1"/>
                <w:sz w:val="21"/>
                <w:szCs w:val="21"/>
                <w:highlight w:val="none"/>
                <w14:textFill>
                  <w14:solidFill>
                    <w14:schemeClr w14:val="tx1"/>
                  </w14:solidFill>
                </w14:textFill>
              </w:rPr>
              <w:t>人民政府</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0A0D7F91">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审批文号：苏政复〔2025〕5号</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6BC146A7">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规划名称：《吴江区平望镇总体规划（2017-2030）》（修编）</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7D6422E2">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审批机关：苏州市吴江区人民政府</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2922C4A9">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审批文号：吴政发〔2017〕4号</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2E3D2C48">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规划名称：《平望镇镇区（浦南片）控制性详细规划调整（2022年）》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2BA64BB5">
            <w:pPr>
              <w:keepNext w:val="0"/>
              <w:keepLines w:val="0"/>
              <w:widowControl/>
              <w:suppressLineNumbers w:val="0"/>
              <w:spacing w:line="240" w:lineRule="auto"/>
              <w:jc w:val="both"/>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审批机关：苏州市吴江区人民政府</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0F27DD9B">
            <w:pPr>
              <w:keepNext w:val="0"/>
              <w:keepLines w:val="0"/>
              <w:widowControl/>
              <w:suppressLineNumbers w:val="0"/>
              <w:spacing w:line="240" w:lineRule="auto"/>
              <w:jc w:val="both"/>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审批文号：吴政发〔2022〕81号</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p>
        </w:tc>
      </w:tr>
      <w:tr w14:paraId="7D26F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843" w:type="dxa"/>
            <w:gridSpan w:val="2"/>
            <w:vAlign w:val="center"/>
          </w:tcPr>
          <w:p w14:paraId="74F8EC0B">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规划环境影响</w:t>
            </w:r>
          </w:p>
          <w:p w14:paraId="4652CBD2">
            <w:pPr>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评价情况</w:t>
            </w:r>
          </w:p>
        </w:tc>
        <w:tc>
          <w:tcPr>
            <w:tcW w:w="6981" w:type="dxa"/>
            <w:gridSpan w:val="3"/>
            <w:vAlign w:val="center"/>
          </w:tcPr>
          <w:p w14:paraId="5A71A987">
            <w:pPr>
              <w:autoSpaceDE w:val="0"/>
              <w:autoSpaceDN w:val="0"/>
              <w:adjustRightInd w:val="0"/>
              <w:snapToGrid w:val="0"/>
              <w:spacing w:line="480" w:lineRule="exact"/>
              <w:jc w:val="cente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无</w:t>
            </w:r>
          </w:p>
        </w:tc>
      </w:tr>
      <w:tr w14:paraId="49F68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67" w:type="dxa"/>
            <w:vAlign w:val="center"/>
          </w:tcPr>
          <w:p w14:paraId="77CAEEB2">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规划及规划环境</w:t>
            </w:r>
          </w:p>
          <w:p w14:paraId="0E554B00">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影响评价符合性分析</w:t>
            </w:r>
          </w:p>
        </w:tc>
        <w:tc>
          <w:tcPr>
            <w:tcW w:w="8257" w:type="dxa"/>
            <w:gridSpan w:val="4"/>
            <w:vAlign w:val="center"/>
          </w:tcPr>
          <w:p w14:paraId="650A8793">
            <w:pPr>
              <w:pStyle w:val="28"/>
              <w:adjustRightInd w:val="0"/>
              <w:spacing w:after="0" w:line="360" w:lineRule="auto"/>
              <w:ind w:left="0" w:leftChars="0" w:firstLine="0" w:firstLineChars="0"/>
              <w:jc w:val="both"/>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一、与《苏州市吴江区国土空间总体规划（2021-2035年）》</w:t>
            </w: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相符性分析</w:t>
            </w:r>
          </w:p>
          <w:p w14:paraId="65E41271">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《苏州市吴江区国土空间总体规划（2021-2035年）》已于2025年2月24日取得江苏省人民政府的批复（苏政复〔2025〕5号），主要内容如下：</w:t>
            </w:r>
          </w:p>
          <w:p w14:paraId="0C5511D5">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1、规划范围</w:t>
            </w:r>
          </w:p>
          <w:p w14:paraId="4B5CF23E">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规划范围为吴江行政辖区，总面积1237.44平方公里（含吴江太湖水域），下辖黎里、盛泽、平望、同里、七都、震泽、桃源7个镇和松陵、江陵、横扇、八坼4个街道。</w:t>
            </w:r>
          </w:p>
          <w:p w14:paraId="0B92570A">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2、规划期限</w:t>
            </w:r>
          </w:p>
          <w:p w14:paraId="1B5EE098">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规划期限为2021~2035年。近期：2021~2025年，远期：2026~2035年，远景：2036~2050年。</w:t>
            </w:r>
          </w:p>
          <w:p w14:paraId="73C6A43E">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3、发展定位</w:t>
            </w:r>
          </w:p>
          <w:p w14:paraId="6E84D588">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长三角生态绿色一体化发展示范区重要组成部分，创新湖区，乐居之城。</w:t>
            </w:r>
          </w:p>
          <w:p w14:paraId="36C606EB">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4、发展目标</w:t>
            </w:r>
          </w:p>
          <w:p w14:paraId="6D9331C7">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到2025年，城市功能进一步完善，一体化制度创新形成一批可复制可推广经验，示范引领长三角更高质量一体化发展的作用初步发挥。</w:t>
            </w:r>
          </w:p>
          <w:p w14:paraId="5640A330">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到2035年，形成更加成熟、更加有效的绿色一体化发展制度体系，全面建设成为示范引领长三角更高质量一体化发展的标杆。</w:t>
            </w:r>
          </w:p>
          <w:p w14:paraId="74843EFA">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到2050年，全面建成具有高度的物质文明、政治文明、精神文明、社会文明、生态文明的示范区域，竞争力、创新力、影响力显著提升，成为展示中国式现代化、人类文明新形态的范例。</w:t>
            </w:r>
          </w:p>
          <w:p w14:paraId="7A939173">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5、空间格局</w:t>
            </w:r>
          </w:p>
          <w:p w14:paraId="5121BFD1">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规划形成“三核、两轴、两带、多点”的国土空间总体格局。</w:t>
            </w:r>
          </w:p>
          <w:p w14:paraId="1DFD5EDA">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三核：松陵主城区、盛泽副城区和汾湖副城区；两轴：通苏嘉甬发展轴、沪湖发展轴；两带：东太湖百里风光带、大运河文化带；多点：平望、震泽、七都、桃源等多个城乡协同发展地区。</w:t>
            </w:r>
          </w:p>
          <w:p w14:paraId="3232F0BA">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6、“三区三线”</w:t>
            </w:r>
          </w:p>
          <w:p w14:paraId="3C78D8DE">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耕地与永久基本农田保护红线：耕地205.1713平方千米、永久基本农田178.4013平方千米；生态保护红线：115.0801平方千米；城镇开发边界：319.7704平方千米。</w:t>
            </w:r>
          </w:p>
          <w:p w14:paraId="67DE2D52">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7、产业空间体系</w:t>
            </w:r>
          </w:p>
          <w:p w14:paraId="1BCB1FD8">
            <w:pPr>
              <w:pStyle w:val="28"/>
              <w:adjustRightInd w:val="0"/>
              <w:spacing w:after="0" w:line="360" w:lineRule="auto"/>
              <w:ind w:left="0" w:leftChars="0" w:firstLine="420"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构建面向未来的“4+5”产业空间体系。“4”为电子信息、光电通信、智能装备和高端纺织四大制造业门类；“5”为融合型数字经济、前沿型创新经济、功能型总部经济、特色型服务经济和生态型湖区经济五大服务业门类。</w:t>
            </w:r>
          </w:p>
          <w:p w14:paraId="68E97FD1">
            <w:pPr>
              <w:pStyle w:val="28"/>
              <w:adjustRightInd w:val="0"/>
              <w:spacing w:after="0" w:line="360" w:lineRule="auto"/>
              <w:ind w:left="0" w:leftChars="0" w:firstLine="422"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相符性分析：</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本项目位于</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江苏省苏州市吴江区平望镇平运路39号，</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根据建设单位提供的不动产权证（</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苏〔2019〕苏州市吴江区不动产权第9000585号</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），本项目用地性质为工业用地</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与规划用地性质相符。</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为天然气锅炉</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属于平望镇的</w:t>
            </w:r>
            <w:r>
              <w:rPr>
                <w:rFonts w:hint="default" w:ascii="Times New Roman" w:hAnsi="Times New Roman" w:eastAsia="宋体" w:cs="Times New Roman"/>
                <w:color w:val="000000" w:themeColor="text1"/>
                <w:sz w:val="21"/>
                <w:szCs w:val="21"/>
                <w:highlight w:val="none"/>
                <w14:textFill>
                  <w14:solidFill>
                    <w14:schemeClr w14:val="tx1"/>
                  </w14:solidFill>
                </w14:textFill>
              </w:rPr>
              <w:t>集中供热设施建设，属于公用设施建设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符合《苏州市吴江区国土空间总体规划（2021-2035年）》的相关要求。</w:t>
            </w:r>
          </w:p>
          <w:p w14:paraId="5BBB00A7">
            <w:pPr>
              <w:pStyle w:val="225"/>
              <w:spacing w:before="38" w:line="360" w:lineRule="auto"/>
              <w:ind w:left="114"/>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二</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w:t>
            </w:r>
            <w:r>
              <w:rPr>
                <w:rFonts w:hint="default" w:ascii="Times New Roman" w:hAnsi="Times New Roman" w:eastAsia="宋体" w:cs="Times New Roman"/>
                <w:b/>
                <w:bCs/>
                <w:color w:val="000000" w:themeColor="text1"/>
                <w:spacing w:val="-2"/>
                <w:sz w:val="21"/>
                <w:szCs w:val="21"/>
                <w:highlight w:val="none"/>
                <w14:textFill>
                  <w14:solidFill>
                    <w14:schemeClr w14:val="tx1"/>
                  </w14:solidFill>
                </w14:textFill>
              </w:rPr>
              <w:t>与《吴江区平望镇总体规划（2017-20</w:t>
            </w:r>
            <w:r>
              <w:rPr>
                <w:rFonts w:hint="default" w:ascii="Times New Roman" w:hAnsi="Times New Roman" w:eastAsia="宋体" w:cs="Times New Roman"/>
                <w:b/>
                <w:bCs/>
                <w:color w:val="000000" w:themeColor="text1"/>
                <w:spacing w:val="-3"/>
                <w:sz w:val="21"/>
                <w:szCs w:val="21"/>
                <w:highlight w:val="none"/>
                <w14:textFill>
                  <w14:solidFill>
                    <w14:schemeClr w14:val="tx1"/>
                  </w14:solidFill>
                </w14:textFill>
              </w:rPr>
              <w:t>30）》（修编）的相符性分析</w:t>
            </w:r>
          </w:p>
          <w:p w14:paraId="21A29986">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发展目标</w:t>
            </w:r>
          </w:p>
          <w:p w14:paraId="463904FE">
            <w:pPr>
              <w:pStyle w:val="225"/>
              <w:keepNext w:val="0"/>
              <w:keepLines w:val="0"/>
              <w:pageBreakBefore w:val="0"/>
              <w:widowControl w:val="0"/>
              <w:kinsoku/>
              <w:wordWrap/>
              <w:overflowPunct/>
              <w:topLinePunct w:val="0"/>
              <w:autoSpaceDE/>
              <w:autoSpaceDN/>
              <w:bidi w:val="0"/>
              <w:snapToGrid/>
              <w:spacing w:line="360" w:lineRule="auto"/>
              <w:ind w:left="0" w:right="0" w:firstLine="39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6"/>
                <w:sz w:val="21"/>
                <w:szCs w:val="21"/>
                <w:highlight w:val="none"/>
                <w14:textFill>
                  <w14:solidFill>
                    <w14:schemeClr w14:val="tx1"/>
                  </w14:solidFill>
                </w14:textFill>
              </w:rPr>
              <w:t>全面实现现代化，经济发展和社会事业达到主要发达国家水平，成为经济发达、</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社会进步、生活富裕、生态良好、民主法治的现代化地区。</w:t>
            </w:r>
          </w:p>
          <w:p w14:paraId="77EEBB78">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规划范围</w:t>
            </w:r>
          </w:p>
          <w:p w14:paraId="4B42080F">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平望镇全部行政区域，面积为133.53平方公里。</w:t>
            </w:r>
          </w:p>
          <w:p w14:paraId="0A62D2F4">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城镇性质</w:t>
            </w:r>
          </w:p>
          <w:p w14:paraId="210087CB">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苏州都市区南部枢纽型城镇，吴江区现代贸工特色城镇，历史文化名镇。</w:t>
            </w:r>
          </w:p>
          <w:p w14:paraId="48BA742C">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4</w:t>
            </w:r>
            <w:r>
              <w:rPr>
                <w:rFonts w:hint="default" w:ascii="Times New Roman" w:hAnsi="Times New Roman" w:eastAsia="宋体" w:cs="Times New Roman"/>
                <w:color w:val="000000" w:themeColor="text1"/>
                <w:spacing w:val="-3"/>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城镇规模</w:t>
            </w:r>
          </w:p>
          <w:p w14:paraId="407AE862">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城镇人口：近期（2020年）12.0万人，远期（2030年）19.0</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万人。</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镇建设用地规模：2030年，规划镇建设用地22.47平方公里。</w:t>
            </w:r>
          </w:p>
          <w:p w14:paraId="7F8E0668">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5</w:t>
            </w:r>
            <w:r>
              <w:rPr>
                <w:rFonts w:hint="default" w:ascii="Times New Roman" w:hAnsi="Times New Roman" w:eastAsia="宋体" w:cs="Times New Roman"/>
                <w:color w:val="000000" w:themeColor="text1"/>
                <w:spacing w:val="-3"/>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空间布局结构</w:t>
            </w:r>
          </w:p>
          <w:p w14:paraId="1D7BB5DE">
            <w:pPr>
              <w:pStyle w:val="225"/>
              <w:keepNext w:val="0"/>
              <w:keepLines w:val="0"/>
              <w:pageBreakBefore w:val="0"/>
              <w:widowControl w:val="0"/>
              <w:kinsoku/>
              <w:wordWrap/>
              <w:overflowPunct/>
              <w:topLinePunct w:val="0"/>
              <w:autoSpaceDE/>
              <w:autoSpaceDN/>
              <w:bidi w:val="0"/>
              <w:snapToGrid/>
              <w:spacing w:line="360" w:lineRule="auto"/>
              <w:ind w:left="0" w:right="0" w:firstLine="420"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形成“一镇两片、四区三组”的空间布局结构。</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“一镇两片”指以太浦河为界划分</w:t>
            </w:r>
            <w:r>
              <w:rPr>
                <w:rFonts w:hint="default" w:ascii="Times New Roman" w:hAnsi="Times New Roman" w:eastAsia="宋体" w:cs="Times New Roman"/>
                <w:color w:val="000000" w:themeColor="text1"/>
                <w:sz w:val="21"/>
                <w:szCs w:val="21"/>
                <w:highlight w:val="none"/>
                <w14:textFill>
                  <w14:solidFill>
                    <w14:schemeClr w14:val="tx1"/>
                  </w14:solidFill>
                </w14:textFill>
              </w:rPr>
              <w:t>为浦北片区和浦南片区。“四区三组”指核心</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镇区、中鲈科技产业区、环湖发展区和</w:t>
            </w:r>
            <w:r>
              <w:rPr>
                <w:rFonts w:hint="default" w:ascii="Times New Roman" w:hAnsi="Times New Roman" w:eastAsia="宋体" w:cs="Times New Roman"/>
                <w:color w:val="000000" w:themeColor="text1"/>
                <w:sz w:val="21"/>
                <w:szCs w:val="21"/>
                <w:highlight w:val="none"/>
                <w14:textFill>
                  <w14:solidFill>
                    <w14:schemeClr w14:val="tx1"/>
                  </w14:solidFill>
                </w14:textFill>
              </w:rPr>
              <w:t>现代农业区四大功能区，梅堰社区、国望科技园</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和平南工业园三个外围组团。</w:t>
            </w:r>
          </w:p>
          <w:p w14:paraId="25C10F0B">
            <w:pPr>
              <w:pStyle w:val="225"/>
              <w:keepNext w:val="0"/>
              <w:keepLines w:val="0"/>
              <w:pageBreakBefore w:val="0"/>
              <w:widowControl w:val="0"/>
              <w:kinsoku/>
              <w:wordWrap/>
              <w:overflowPunct/>
              <w:topLinePunct w:val="0"/>
              <w:autoSpaceDE/>
              <w:autoSpaceDN/>
              <w:bidi w:val="0"/>
              <w:snapToGrid/>
              <w:spacing w:line="360" w:lineRule="auto"/>
              <w:ind w:left="0" w:right="0" w:firstLine="408"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6</w:t>
            </w:r>
            <w:r>
              <w:rPr>
                <w:rFonts w:hint="default" w:ascii="Times New Roman" w:hAnsi="Times New Roman" w:eastAsia="宋体" w:cs="Times New Roman"/>
                <w:color w:val="000000" w:themeColor="text1"/>
                <w:spacing w:val="-3"/>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基础设施规划</w:t>
            </w:r>
          </w:p>
          <w:p w14:paraId="5AE88C64">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供水规划：根据平望城镇分布结构和水资源特点，镇区由吴</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江区（庙港）水厂区域供水，水源地为太湖，原水厂关闭。以d1200管网自镇南向北跨205省道、太</w:t>
            </w:r>
            <w:r>
              <w:rPr>
                <w:rFonts w:hint="default" w:ascii="Times New Roman" w:hAnsi="Times New Roman" w:eastAsia="宋体" w:cs="Times New Roman"/>
                <w:color w:val="000000" w:themeColor="text1"/>
                <w:spacing w:val="-4"/>
                <w:sz w:val="21"/>
                <w:szCs w:val="21"/>
                <w:highlight w:val="none"/>
                <w14:textFill>
                  <w14:solidFill>
                    <w14:schemeClr w14:val="tx1"/>
                  </w14:solidFill>
                </w14:textFill>
              </w:rPr>
              <w:t>浦河、318国道，全长7.7公里，再向东以d</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1000接入黎里，全长9.8公里。镇域内</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主供水管沿主干网呈枝状布置，次干管敷设至行政村。次干管网采用d400、d3</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00、</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d200，分片环状与枝状相结合布置管网。</w:t>
            </w:r>
          </w:p>
          <w:p w14:paraId="10A1B220">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7</w:t>
            </w:r>
            <w:r>
              <w:rPr>
                <w:rFonts w:hint="default" w:ascii="Times New Roman" w:hAnsi="Times New Roman" w:eastAsia="宋体" w:cs="Times New Roman"/>
                <w:color w:val="000000" w:themeColor="text1"/>
                <w:spacing w:val="-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排水工程规划：指导思想及目标：适应城乡现代化的要求，在不断完善镇区排水设施的基础上，优先发展区域排水系统，改善水环境日益污</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染的状况，改</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善投资环境，提高人民生活质量。</w:t>
            </w:r>
          </w:p>
          <w:p w14:paraId="179AF9FA">
            <w:pPr>
              <w:pStyle w:val="28"/>
              <w:keepNext w:val="0"/>
              <w:keepLines w:val="0"/>
              <w:pageBreakBefore w:val="0"/>
              <w:widowControl w:val="0"/>
              <w:kinsoku/>
              <w:wordWrap/>
              <w:overflowPunct/>
              <w:topLinePunct w:val="0"/>
              <w:autoSpaceDE/>
              <w:autoSpaceDN/>
              <w:bidi w:val="0"/>
              <w:adjustRightInd w:val="0"/>
              <w:snapToGrid/>
              <w:spacing w:after="0" w:line="360" w:lineRule="auto"/>
              <w:ind w:left="0" w:leftChars="0" w:right="0" w:firstLine="408" w:firstLineChars="200"/>
              <w:jc w:val="both"/>
              <w:textAlignment w:val="auto"/>
              <w:rPr>
                <w:rFonts w:hint="default" w:ascii="Times New Roman" w:hAnsi="Times New Roman" w:eastAsia="宋体" w:cs="Times New Roman"/>
                <w:color w:val="000000" w:themeColor="text1"/>
                <w:spacing w:val="-3"/>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目标：坚持经济、社会、环境效益相统一的原则。</w:t>
            </w:r>
          </w:p>
          <w:p w14:paraId="5654B8B9">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近期中心镇区管网分布合理，城镇排水管网密度达到10公里/平方公里。排水</w:t>
            </w:r>
            <w:r>
              <w:rPr>
                <w:rFonts w:hint="default" w:ascii="Times New Roman" w:hAnsi="Times New Roman" w:eastAsia="宋体" w:cs="Times New Roman"/>
                <w:color w:val="000000" w:themeColor="text1"/>
                <w:sz w:val="21"/>
                <w:szCs w:val="21"/>
                <w:highlight w:val="none"/>
                <w14:textFill>
                  <w14:solidFill>
                    <w14:schemeClr w14:val="tx1"/>
                  </w14:solidFill>
                </w14:textFill>
              </w:rPr>
              <w:t>体制实行雨污分流制，污水集中处理形成一定规模。确</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保城市生活污水处理率达</w:t>
            </w:r>
            <w:r>
              <w:rPr>
                <w:rFonts w:hint="default" w:ascii="Times New Roman" w:hAnsi="Times New Roman" w:eastAsia="宋体" w:cs="Times New Roman"/>
                <w:color w:val="000000" w:themeColor="text1"/>
                <w:spacing w:val="-4"/>
                <w:sz w:val="21"/>
                <w:szCs w:val="21"/>
                <w:highlight w:val="none"/>
                <w14:textFill>
                  <w14:solidFill>
                    <w14:schemeClr w14:val="tx1"/>
                  </w14:solidFill>
                </w14:textFill>
              </w:rPr>
              <w:t>60%，城市排水管网普及率达80%。远期城镇生活污水处理率达</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80%，城镇排水管</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网普及率达95%。中心镇区排水制度为雨污分流制。新区一律采取雨污分流制；旧</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区结合污水管道改造，把原有合流管改造为雨水管道，逐步实现雨污</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分流制。建设</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污水处理厂集中处理污水。生活污水全部进入污水处理厂进行处理；</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生产污水部分</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集中处理。一些污水排放量较大的企业，可就地自行处理，达到排放</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标准后排入水</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体。</w:t>
            </w:r>
          </w:p>
          <w:p w14:paraId="4EBC0593">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中心镇分别在太浦河南北各建设一所污水处理厂，集中处理污水，设计处理能</w:t>
            </w:r>
            <w:r>
              <w:rPr>
                <w:rFonts w:hint="default" w:ascii="Times New Roman" w:hAnsi="Times New Roman" w:eastAsia="宋体" w:cs="Times New Roman"/>
                <w:color w:val="000000" w:themeColor="text1"/>
                <w:spacing w:val="-4"/>
                <w:sz w:val="21"/>
                <w:szCs w:val="21"/>
                <w:highlight w:val="none"/>
                <w14:textFill>
                  <w14:solidFill>
                    <w14:schemeClr w14:val="tx1"/>
                  </w14:solidFill>
                </w14:textFill>
              </w:rPr>
              <w:t>力均为3万吨/日，处理等级为二级（生化处理）。工业集聚的行政村应建设联合污</w:t>
            </w:r>
            <w:r>
              <w:rPr>
                <w:rFonts w:hint="default" w:ascii="Times New Roman" w:hAnsi="Times New Roman" w:eastAsia="宋体" w:cs="Times New Roman"/>
                <w:color w:val="000000" w:themeColor="text1"/>
                <w:sz w:val="21"/>
                <w:szCs w:val="21"/>
                <w:highlight w:val="none"/>
                <w14:textFill>
                  <w14:solidFill>
                    <w14:schemeClr w14:val="tx1"/>
                  </w14:solidFill>
                </w14:textFill>
              </w:rPr>
              <w:t>水处理站或选用环保污水处理设备处理污水，</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处理等级为二级（生化处理）。</w:t>
            </w:r>
          </w:p>
          <w:p w14:paraId="42315888">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镇域排水采用分片、分流，集中排放与自行排放相结合的原</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则。分片即太浦河</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以北与以南分别设立排放体系。分流即雨污分流，生活污水与工</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业污水分别排放，</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雨水采用雨水管网收集后排放，工业污水自行处理达标后进入生</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活污水管网经污水</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处理厂处理达标后统一集中排放。各农村居民点生活污水须经地</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埋式无动力污水处</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理装置处理达标后就近排放。村级工业产生污水须自行处理达标</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后就近排放，雨水可直接排放。</w:t>
            </w:r>
          </w:p>
          <w:p w14:paraId="762C4D8B">
            <w:pPr>
              <w:pStyle w:val="225"/>
              <w:keepNext w:val="0"/>
              <w:keepLines w:val="0"/>
              <w:pageBreakBefore w:val="0"/>
              <w:widowControl w:val="0"/>
              <w:kinsoku/>
              <w:wordWrap/>
              <w:overflowPunct/>
              <w:topLinePunct w:val="0"/>
              <w:autoSpaceDE/>
              <w:autoSpaceDN/>
              <w:bidi w:val="0"/>
              <w:snapToGrid/>
              <w:spacing w:line="360" w:lineRule="auto"/>
              <w:ind w:left="0" w:right="0" w:firstLine="392"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7"/>
                <w:sz w:val="21"/>
                <w:szCs w:val="21"/>
                <w:highlight w:val="none"/>
                <w14:textFill>
                  <w14:solidFill>
                    <w14:schemeClr w14:val="tx1"/>
                  </w14:solidFill>
                </w14:textFill>
              </w:rPr>
              <w:t>供电工程规划：居住用地用电负荷取100千瓦时，公共设施用地用电负荷取300</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千瓦时，工业用地用电负荷取400千瓦时，其他用地用电负荷取100千瓦时，则全</w:t>
            </w:r>
            <w:r>
              <w:rPr>
                <w:rFonts w:hint="default" w:ascii="Times New Roman" w:hAnsi="Times New Roman" w:eastAsia="宋体" w:cs="Times New Roman"/>
                <w:color w:val="000000" w:themeColor="text1"/>
                <w:spacing w:val="-4"/>
                <w:sz w:val="21"/>
                <w:szCs w:val="21"/>
                <w:highlight w:val="none"/>
                <w14:textFill>
                  <w14:solidFill>
                    <w14:schemeClr w14:val="tx1"/>
                  </w14:solidFill>
                </w14:textFill>
              </w:rPr>
              <w:t>镇最大负荷为12万千瓦时，其中镇区为10万千瓦时。</w:t>
            </w:r>
          </w:p>
          <w:p w14:paraId="1C8ADCF8">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供热工程规划：热源选择：热源为平望镇热</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电厂</w:t>
            </w:r>
            <w:r>
              <w:rPr>
                <w:rFonts w:hint="default" w:ascii="Times New Roman" w:hAnsi="Times New Roman" w:eastAsia="宋体" w:cs="Times New Roman"/>
                <w:color w:val="000000" w:themeColor="text1"/>
                <w:spacing w:val="-2"/>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2"/>
                <w:sz w:val="21"/>
                <w:szCs w:val="21"/>
                <w:highlight w:val="none"/>
                <w:lang w:val="en-US" w:eastAsia="zh-CN"/>
                <w14:textFill>
                  <w14:solidFill>
                    <w14:schemeClr w14:val="tx1"/>
                  </w14:solidFill>
                </w14:textFill>
              </w:rPr>
              <w:t>即华电吴江热电公司</w:t>
            </w:r>
            <w:r>
              <w:rPr>
                <w:rFonts w:hint="default" w:ascii="Times New Roman" w:hAnsi="Times New Roman" w:eastAsia="宋体" w:cs="Times New Roman"/>
                <w:color w:val="000000" w:themeColor="text1"/>
                <w:spacing w:val="-2"/>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 w:val="21"/>
                <w:szCs w:val="21"/>
                <w:highlight w:val="none"/>
                <w:lang w:val="en-US" w:eastAsia="zh-CN"/>
                <w14:textFill>
                  <w14:solidFill>
                    <w14:schemeClr w14:val="tx1"/>
                  </w14:solidFill>
                </w14:textFill>
              </w:rPr>
              <w:t>目前已建设2台</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180MW级燃机热电联产</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机组</w:t>
            </w: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及1台50t/h燃气锅炉</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w:t>
            </w:r>
          </w:p>
          <w:p w14:paraId="2BF43BC5">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管网型式：2020年形成环状管网，城市全面实现集中供热。</w:t>
            </w:r>
          </w:p>
          <w:p w14:paraId="1F255ECC">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热网走向：热网管道走向：从平望热电厂接出，</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分朝北、朝南二条主干线。南</w:t>
            </w:r>
            <w:r>
              <w:rPr>
                <w:rFonts w:hint="default" w:ascii="Times New Roman" w:hAnsi="Times New Roman" w:eastAsia="宋体" w:cs="Times New Roman"/>
                <w:color w:val="000000" w:themeColor="text1"/>
                <w:sz w:val="21"/>
                <w:szCs w:val="21"/>
                <w:highlight w:val="none"/>
                <w14:textFill>
                  <w14:solidFill>
                    <w14:schemeClr w14:val="tx1"/>
                  </w14:solidFill>
                </w14:textFill>
              </w:rPr>
              <w:t>路主干线沿京杭大运河东岸南下，沿205省道往南行，再通</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镇南工业园区。北路主</w:t>
            </w:r>
            <w:r>
              <w:rPr>
                <w:rFonts w:hint="default" w:ascii="Times New Roman" w:hAnsi="Times New Roman" w:eastAsia="宋体" w:cs="Times New Roman"/>
                <w:color w:val="000000" w:themeColor="text1"/>
                <w:sz w:val="21"/>
                <w:szCs w:val="21"/>
                <w:highlight w:val="none"/>
                <w14:textFill>
                  <w14:solidFill>
                    <w14:schemeClr w14:val="tx1"/>
                  </w14:solidFill>
                </w14:textFill>
              </w:rPr>
              <w:t>干线沿南环镇域东环线，折而向北从平望东大桥跨太浦河</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，向东到外资工业园。</w:t>
            </w:r>
          </w:p>
          <w:p w14:paraId="6F8D931E">
            <w:pPr>
              <w:pStyle w:val="28"/>
              <w:adjustRightInd w:val="0"/>
              <w:spacing w:after="0" w:line="360" w:lineRule="auto"/>
              <w:ind w:left="0" w:leftChars="0" w:firstLine="422" w:firstLineChars="200"/>
              <w:jc w:val="both"/>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相符性分析：</w:t>
            </w:r>
            <w:r>
              <w:rPr>
                <w:rFonts w:hint="default" w:ascii="Times New Roman" w:hAnsi="Times New Roman" w:eastAsia="宋体" w:cs="Times New Roman"/>
                <w:color w:val="000000" w:themeColor="text1"/>
                <w:sz w:val="21"/>
                <w:szCs w:val="21"/>
                <w:highlight w:val="none"/>
                <w14:textFill>
                  <w14:solidFill>
                    <w14:schemeClr w14:val="tx1"/>
                  </w14:solidFill>
                </w14:textFill>
              </w:rPr>
              <w:t>本项目位于</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江苏省苏州市吴江区平望镇平运路39号，属于“一镇两片”中</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的</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浦南片区。</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根据建设单位提供的不动产权证</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苏〔2019〕苏州市吴江区不动产权第9000585号</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w:t>
            </w:r>
            <w:r>
              <w:rPr>
                <w:rFonts w:hint="default" w:ascii="Times New Roman" w:hAnsi="Times New Roman" w:eastAsia="宋体" w:cs="Times New Roman"/>
                <w:color w:val="000000" w:themeColor="text1"/>
                <w:sz w:val="21"/>
                <w:szCs w:val="21"/>
                <w:highlight w:val="none"/>
                <w14:textFill>
                  <w14:solidFill>
                    <w14:schemeClr w14:val="tx1"/>
                  </w14:solidFill>
                </w14:textFill>
              </w:rPr>
              <w:t>项目用地性质为工业用地</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本项目在现有厂区内进行建设，</w:t>
            </w:r>
            <w:r>
              <w:rPr>
                <w:rFonts w:hint="default" w:ascii="Times New Roman" w:hAnsi="Times New Roman" w:eastAsia="宋体" w:cs="Times New Roman"/>
                <w:color w:val="000000" w:themeColor="text1"/>
                <w:sz w:val="21"/>
                <w:szCs w:val="21"/>
                <w:highlight w:val="none"/>
                <w14:textFill>
                  <w14:solidFill>
                    <w14:schemeClr w14:val="tx1"/>
                  </w14:solidFill>
                </w14:textFill>
              </w:rPr>
              <w:t>不新增占地</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根据</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pacing w:val="-2"/>
                <w:sz w:val="21"/>
                <w:szCs w:val="21"/>
                <w:highlight w:val="none"/>
                <w14:textFill>
                  <w14:solidFill>
                    <w14:schemeClr w14:val="tx1"/>
                  </w14:solidFill>
                </w14:textFill>
              </w:rPr>
              <w:t>吴江区平望镇总体规划（2017-20</w:t>
            </w:r>
            <w:r>
              <w:rPr>
                <w:rFonts w:hint="default" w:ascii="Times New Roman" w:hAnsi="Times New Roman" w:eastAsia="宋体" w:cs="Times New Roman"/>
                <w:b w:val="0"/>
                <w:bCs w:val="0"/>
                <w:color w:val="000000" w:themeColor="text1"/>
                <w:spacing w:val="-3"/>
                <w:sz w:val="21"/>
                <w:szCs w:val="21"/>
                <w:highlight w:val="none"/>
                <w14:textFill>
                  <w14:solidFill>
                    <w14:schemeClr w14:val="tx1"/>
                  </w14:solidFill>
                </w14:textFill>
              </w:rPr>
              <w:t>30）</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可知，本</w:t>
            </w:r>
            <w:r>
              <w:rPr>
                <w:rFonts w:hint="default" w:ascii="Times New Roman" w:hAnsi="Times New Roman" w:eastAsia="宋体" w:cs="Times New Roman"/>
                <w:color w:val="000000" w:themeColor="text1"/>
                <w:sz w:val="21"/>
                <w:szCs w:val="21"/>
                <w:highlight w:val="none"/>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所在地块规划为工业用地。企业采取雨污分流，本项目废水经厂内废水处理系统处理后接管平望镇污水处理厂集中处理。</w:t>
            </w:r>
            <w:r>
              <w:rPr>
                <w:rFonts w:hint="default" w:ascii="Times New Roman" w:hAnsi="Times New Roman" w:eastAsia="宋体" w:cs="Times New Roman"/>
                <w:color w:val="000000" w:themeColor="text1"/>
                <w:sz w:val="21"/>
                <w:szCs w:val="21"/>
                <w:highlight w:val="none"/>
                <w14:textFill>
                  <w14:solidFill>
                    <w14:schemeClr w14:val="tx1"/>
                  </w14:solidFill>
                </w14:textFill>
              </w:rPr>
              <w:t>目前</w:t>
            </w:r>
            <w:r>
              <w:rPr>
                <w:rFonts w:hint="eastAsia" w:eastAsia="宋体" w:cs="Times New Roman"/>
                <w:color w:val="000000" w:themeColor="text1"/>
                <w:sz w:val="21"/>
                <w:szCs w:val="21"/>
                <w:highlight w:val="none"/>
                <w:lang w:val="en-US" w:eastAsia="zh-CN"/>
                <w14:textFill>
                  <w14:solidFill>
                    <w14:schemeClr w14:val="tx1"/>
                  </w14:solidFill>
                </w14:textFill>
              </w:rPr>
              <w:t>吴江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热电</w:t>
            </w:r>
            <w:r>
              <w:rPr>
                <w:rFonts w:hint="default" w:ascii="Times New Roman" w:hAnsi="Times New Roman" w:eastAsia="宋体" w:cs="Times New Roman"/>
                <w:color w:val="000000" w:themeColor="text1"/>
                <w:sz w:val="21"/>
                <w:szCs w:val="21"/>
                <w:highlight w:val="none"/>
                <w14:textFill>
                  <w14:solidFill>
                    <w14:schemeClr w14:val="tx1"/>
                  </w14:solidFill>
                </w14:textFill>
              </w:rPr>
              <w:t>因参与电网两班制调峰，受电网调度限制，现有机组不能按规划规模供热，导致供热设施运行负荷过高，供热不稳定，本项目是</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平望热电</w:t>
            </w:r>
            <w:r>
              <w:rPr>
                <w:rFonts w:hint="default" w:ascii="Times New Roman" w:hAnsi="Times New Roman" w:eastAsia="宋体" w:cs="Times New Roman"/>
                <w:color w:val="000000" w:themeColor="text1"/>
                <w:sz w:val="21"/>
                <w:szCs w:val="21"/>
                <w:highlight w:val="none"/>
                <w14:textFill>
                  <w14:solidFill>
                    <w14:schemeClr w14:val="tx1"/>
                  </w14:solidFill>
                </w14:textFill>
              </w:rPr>
              <w:t>公司为弥补现有供热设施运行负荷过高，供热不稳定问题，而新增的燃气蒸汽锅炉，项目建成后不增加全厂供热量和发电量， 因此，</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本项目符合</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pacing w:val="-2"/>
                <w:sz w:val="21"/>
                <w:szCs w:val="21"/>
                <w:highlight w:val="none"/>
                <w14:textFill>
                  <w14:solidFill>
                    <w14:schemeClr w14:val="tx1"/>
                  </w14:solidFill>
                </w14:textFill>
              </w:rPr>
              <w:t>吴江区平望镇总体规划（2017-20</w:t>
            </w:r>
            <w:r>
              <w:rPr>
                <w:rFonts w:hint="default" w:ascii="Times New Roman" w:hAnsi="Times New Roman" w:eastAsia="宋体" w:cs="Times New Roman"/>
                <w:b w:val="0"/>
                <w:bCs w:val="0"/>
                <w:color w:val="000000" w:themeColor="text1"/>
                <w:spacing w:val="-3"/>
                <w:sz w:val="21"/>
                <w:szCs w:val="21"/>
                <w:highlight w:val="none"/>
                <w14:textFill>
                  <w14:solidFill>
                    <w14:schemeClr w14:val="tx1"/>
                  </w14:solidFill>
                </w14:textFill>
              </w:rPr>
              <w:t>30）</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的相关要求。</w:t>
            </w:r>
          </w:p>
          <w:p w14:paraId="7477D919">
            <w:pPr>
              <w:pStyle w:val="225"/>
              <w:keepNext w:val="0"/>
              <w:keepLines w:val="0"/>
              <w:pageBreakBefore w:val="0"/>
              <w:widowControl w:val="0"/>
              <w:kinsoku/>
              <w:wordWrap/>
              <w:overflowPunct/>
              <w:topLinePunct w:val="0"/>
              <w:autoSpaceDE/>
              <w:autoSpaceDN/>
              <w:bidi w:val="0"/>
              <w:snapToGrid/>
              <w:spacing w:line="360" w:lineRule="auto"/>
              <w:ind w:right="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pacing w:val="0"/>
                <w:kern w:val="0"/>
                <w:sz w:val="21"/>
                <w:szCs w:val="21"/>
                <w:highlight w:val="none"/>
                <w:lang w:val="en-US" w:eastAsia="zh-CN"/>
                <w14:textFill>
                  <w14:solidFill>
                    <w14:schemeClr w14:val="tx1"/>
                  </w14:solidFill>
                </w14:textFill>
              </w:rPr>
              <w:t>三、</w:t>
            </w:r>
            <w:r>
              <w:rPr>
                <w:rFonts w:hint="default" w:ascii="Times New Roman" w:hAnsi="Times New Roman" w:eastAsia="宋体" w:cs="Times New Roman"/>
                <w:b/>
                <w:bCs/>
                <w:color w:val="000000" w:themeColor="text1"/>
                <w:spacing w:val="-2"/>
                <w:sz w:val="21"/>
                <w:szCs w:val="21"/>
                <w:highlight w:val="none"/>
                <w14:textFill>
                  <w14:solidFill>
                    <w14:schemeClr w14:val="tx1"/>
                  </w14:solidFill>
                </w14:textFill>
              </w:rPr>
              <w:t>与《平望镇镇区（浦南片）控制性详细规划调整（2</w:t>
            </w:r>
            <w:r>
              <w:rPr>
                <w:rFonts w:hint="default" w:ascii="Times New Roman" w:hAnsi="Times New Roman" w:eastAsia="宋体" w:cs="Times New Roman"/>
                <w:b/>
                <w:bCs/>
                <w:color w:val="000000" w:themeColor="text1"/>
                <w:spacing w:val="-3"/>
                <w:sz w:val="21"/>
                <w:szCs w:val="21"/>
                <w:highlight w:val="none"/>
                <w14:textFill>
                  <w14:solidFill>
                    <w14:schemeClr w14:val="tx1"/>
                  </w14:solidFill>
                </w14:textFill>
              </w:rPr>
              <w:t>022年）》相符性</w:t>
            </w:r>
          </w:p>
          <w:p w14:paraId="7DAAF651">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jc w:val="both"/>
              <w:textAlignment w:val="auto"/>
              <w:rPr>
                <w:rFonts w:hint="default" w:ascii="Times New Roman" w:hAnsi="Times New Roman" w:eastAsia="宋体" w:cs="Times New Roman"/>
                <w:color w:val="000000" w:themeColor="text1"/>
                <w:spacing w:val="-2"/>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、规划范围</w:t>
            </w:r>
          </w:p>
          <w:p w14:paraId="4427EA11">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规划范围由四个功能组团构成，包括核心镇区、国望科技园、梅堰社区和平南工业区，规划总用地1712.21hm</w:t>
            </w:r>
            <w:r>
              <w:rPr>
                <w:rFonts w:hint="default" w:ascii="Times New Roman" w:hAnsi="Times New Roman" w:eastAsia="宋体" w:cs="Times New Roman"/>
                <w:color w:val="000000" w:themeColor="text1"/>
                <w:spacing w:val="-2"/>
                <w:sz w:val="21"/>
                <w:szCs w:val="21"/>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w:t>
            </w:r>
          </w:p>
          <w:p w14:paraId="1424E07C">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pacing w:val="-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、规划目标</w:t>
            </w:r>
          </w:p>
          <w:p w14:paraId="4B0CE946">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“功能合理、交通顺畅、特色鲜明、富有活力、适宜人居”的现代水乡特色城镇片区。</w:t>
            </w:r>
          </w:p>
          <w:p w14:paraId="44F80A65">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pacing w:val="-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、功能定位</w:t>
            </w:r>
          </w:p>
          <w:p w14:paraId="3480F791">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平望镇域综合服务中心，吴江区水乡特色旅</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游目的地和现代纺</w:t>
            </w:r>
            <w:r>
              <w:rPr>
                <w:rFonts w:hint="default" w:ascii="Times New Roman" w:hAnsi="Times New Roman" w:eastAsia="宋体" w:cs="Times New Roman"/>
                <w:color w:val="000000" w:themeColor="text1"/>
                <w:spacing w:val="-3"/>
                <w:sz w:val="21"/>
                <w:szCs w:val="21"/>
                <w:highlight w:val="none"/>
                <w14:textFill>
                  <w14:solidFill>
                    <w14:schemeClr w14:val="tx1"/>
                  </w14:solidFill>
                </w14:textFill>
              </w:rPr>
              <w:t>织产业基地。</w:t>
            </w:r>
          </w:p>
          <w:p w14:paraId="33DED14D">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jc w:val="both"/>
              <w:textAlignment w:val="auto"/>
              <w:rPr>
                <w:rFonts w:hint="default" w:ascii="Times New Roman" w:hAnsi="Times New Roman" w:eastAsia="宋体" w:cs="Times New Roman"/>
                <w:color w:val="000000" w:themeColor="text1"/>
                <w:spacing w:val="-2"/>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、规划原则</w:t>
            </w:r>
          </w:p>
          <w:p w14:paraId="03BFB62D">
            <w:pPr>
              <w:pStyle w:val="225"/>
              <w:keepNext w:val="0"/>
              <w:keepLines w:val="0"/>
              <w:pageBreakBefore w:val="0"/>
              <w:widowControl w:val="0"/>
              <w:kinsoku/>
              <w:wordWrap/>
              <w:overflowPunct/>
              <w:topLinePunct w:val="0"/>
              <w:autoSpaceDE/>
              <w:autoSpaceDN/>
              <w:bidi w:val="0"/>
              <w:snapToGrid/>
              <w:spacing w:line="360" w:lineRule="auto"/>
              <w:ind w:left="0" w:right="0" w:firstLine="412"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2"/>
                <w:sz w:val="21"/>
                <w:szCs w:val="21"/>
                <w:highlight w:val="none"/>
                <w14:textFill>
                  <w14:solidFill>
                    <w14:schemeClr w14:val="tx1"/>
                  </w14:solidFill>
                </w14:textFill>
              </w:rPr>
              <w:t>本规划遵循统筹兼顾、公共利益优先、刚性与弹性相结合的原</w:t>
            </w:r>
            <w:r>
              <w:rPr>
                <w:rFonts w:hint="default" w:ascii="Times New Roman" w:hAnsi="Times New Roman" w:eastAsia="宋体" w:cs="Times New Roman"/>
                <w:color w:val="000000" w:themeColor="text1"/>
                <w:spacing w:val="-8"/>
                <w:sz w:val="21"/>
                <w:szCs w:val="21"/>
                <w:highlight w:val="none"/>
                <w14:textFill>
                  <w14:solidFill>
                    <w14:schemeClr w14:val="tx1"/>
                  </w14:solidFill>
                </w14:textFill>
              </w:rPr>
              <w:t>则。</w:t>
            </w:r>
          </w:p>
          <w:p w14:paraId="2C2AD65D">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pacing w:val="-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、规划结构</w:t>
            </w:r>
          </w:p>
          <w:p w14:paraId="73097122">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规划形成“两心三点、一带三轴四组”的布局结构。</w:t>
            </w:r>
          </w:p>
          <w:p w14:paraId="7C470E6F">
            <w:pPr>
              <w:pStyle w:val="225"/>
              <w:keepNext w:val="0"/>
              <w:keepLines w:val="0"/>
              <w:pageBreakBefore w:val="0"/>
              <w:widowControl w:val="0"/>
              <w:kinsoku/>
              <w:wordWrap/>
              <w:overflowPunct/>
              <w:topLinePunct w:val="0"/>
              <w:autoSpaceDE/>
              <w:autoSpaceDN/>
              <w:bidi w:val="0"/>
              <w:snapToGrid/>
              <w:spacing w:line="360" w:lineRule="auto"/>
              <w:ind w:left="0" w:right="0" w:firstLine="424"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“两心”：分别是位于新镇区的综合服务核心和位于老镇区的休闲商业中心。</w:t>
            </w:r>
          </w:p>
          <w:p w14:paraId="0A07820A">
            <w:pPr>
              <w:pStyle w:val="225"/>
              <w:keepNext w:val="0"/>
              <w:keepLines w:val="0"/>
              <w:pageBreakBefore w:val="0"/>
              <w:widowControl w:val="0"/>
              <w:kinsoku/>
              <w:wordWrap/>
              <w:overflowPunct/>
              <w:topLinePunct w:val="0"/>
              <w:autoSpaceDE/>
              <w:autoSpaceDN/>
              <w:bidi w:val="0"/>
              <w:snapToGrid/>
              <w:spacing w:line="360" w:lineRule="auto"/>
              <w:ind w:left="0" w:right="0" w:firstLine="416"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“三点”：三处组团服务节点，分别位于梅堰社区、国望科技园和平南工业区。</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“一带”：沿莺脰湖、草荡、新运河和頔塘河的滨水景观带。</w:t>
            </w:r>
          </w:p>
          <w:p w14:paraId="76FB88E5">
            <w:pPr>
              <w:pStyle w:val="225"/>
              <w:keepNext w:val="0"/>
              <w:keepLines w:val="0"/>
              <w:pageBreakBefore w:val="0"/>
              <w:widowControl w:val="0"/>
              <w:kinsoku/>
              <w:wordWrap/>
              <w:overflowPunct/>
              <w:topLinePunct w:val="0"/>
              <w:autoSpaceDE/>
              <w:autoSpaceDN/>
              <w:bidi w:val="0"/>
              <w:snapToGrid/>
              <w:spacing w:line="360" w:lineRule="auto"/>
              <w:ind w:left="0" w:right="0" w:firstLine="420"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“三轴”：三条空间发展轴线，分别为沿G318-平梅大道-临湖路的东西</w:t>
            </w: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空间发展轴、沿莺脰湖路和南北快速干线的两条南北空间发展轴。</w:t>
            </w:r>
          </w:p>
          <w:p w14:paraId="70A4A6F5">
            <w:pPr>
              <w:pStyle w:val="225"/>
              <w:keepNext w:val="0"/>
              <w:keepLines w:val="0"/>
              <w:pageBreakBefore w:val="0"/>
              <w:widowControl w:val="0"/>
              <w:kinsoku/>
              <w:wordWrap/>
              <w:overflowPunct/>
              <w:topLinePunct w:val="0"/>
              <w:autoSpaceDE/>
              <w:autoSpaceDN/>
              <w:bidi w:val="0"/>
              <w:snapToGrid/>
              <w:spacing w:line="360" w:lineRule="auto"/>
              <w:ind w:left="0" w:right="0" w:firstLine="424" w:firstLineChars="200"/>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pacing w:val="1"/>
                <w:sz w:val="21"/>
                <w:szCs w:val="21"/>
                <w:highlight w:val="none"/>
                <w14:textFill>
                  <w14:solidFill>
                    <w14:schemeClr w14:val="tx1"/>
                  </w14:solidFill>
                </w14:textFill>
              </w:rPr>
              <w:t>“四组”：四个功能组团，分别是核心镇区、梅堰社区、国望科技园、平南工业</w:t>
            </w:r>
            <w:r>
              <w:rPr>
                <w:rFonts w:hint="default" w:ascii="Times New Roman" w:hAnsi="Times New Roman" w:eastAsia="宋体" w:cs="Times New Roman"/>
                <w:color w:val="000000" w:themeColor="text1"/>
                <w:spacing w:val="-14"/>
                <w:sz w:val="21"/>
                <w:szCs w:val="21"/>
                <w:highlight w:val="none"/>
                <w14:textFill>
                  <w14:solidFill>
                    <w14:schemeClr w14:val="tx1"/>
                  </w14:solidFill>
                </w14:textFill>
              </w:rPr>
              <w:t>区。</w:t>
            </w:r>
          </w:p>
          <w:p w14:paraId="10172951">
            <w:pPr>
              <w:autoSpaceDE w:val="0"/>
              <w:autoSpaceDN w:val="0"/>
              <w:adjustRightInd w:val="0"/>
              <w:snapToGrid w:val="0"/>
              <w:spacing w:line="440" w:lineRule="exact"/>
              <w:ind w:firstLine="422" w:firstLineChars="200"/>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相符性分析：</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本项目位于</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江苏省苏州市吴江区平望镇平运路39号，</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位于平望镇</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浦南片区</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。根据调整后土地使用规划图（详见附图），本项目所在地属于工业用地；根据建设单位提供的不动产权证（苏〔2019〕苏州市吴江区不动产权第9000585号），</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w:t>
            </w:r>
            <w:r>
              <w:rPr>
                <w:rFonts w:hint="default" w:ascii="Times New Roman" w:hAnsi="Times New Roman" w:eastAsia="宋体" w:cs="Times New Roman"/>
                <w:color w:val="000000" w:themeColor="text1"/>
                <w:sz w:val="21"/>
                <w:szCs w:val="21"/>
                <w:highlight w:val="none"/>
                <w14:textFill>
                  <w14:solidFill>
                    <w14:schemeClr w14:val="tx1"/>
                  </w14:solidFill>
                </w14:textFill>
              </w:rPr>
              <w:t>项目用地性质为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二类</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工业用地。</w:t>
            </w: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属于</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天然气锅炉</w:t>
            </w:r>
            <w:r>
              <w:rPr>
                <w:rFonts w:hint="default" w:ascii="Times New Roman" w:hAnsi="Times New Roman" w:eastAsia="宋体" w:cs="Times New Roman"/>
                <w:color w:val="000000" w:themeColor="text1"/>
                <w:sz w:val="21"/>
                <w:szCs w:val="21"/>
                <w:highlight w:val="none"/>
                <w:u w:val="none"/>
                <w:lang w:eastAsia="zh-CN"/>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属于平望镇的</w:t>
            </w:r>
            <w:r>
              <w:rPr>
                <w:rFonts w:hint="default" w:ascii="Times New Roman" w:hAnsi="Times New Roman" w:eastAsia="宋体" w:cs="Times New Roman"/>
                <w:color w:val="000000" w:themeColor="text1"/>
                <w:sz w:val="21"/>
                <w:szCs w:val="21"/>
                <w:highlight w:val="none"/>
                <w14:textFill>
                  <w14:solidFill>
                    <w14:schemeClr w14:val="tx1"/>
                  </w14:solidFill>
                </w14:textFill>
              </w:rPr>
              <w:t>集中供热设施建设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和</w:t>
            </w:r>
            <w:r>
              <w:rPr>
                <w:rFonts w:hint="default" w:ascii="Times New Roman" w:hAnsi="Times New Roman" w:eastAsia="宋体" w:cs="Times New Roman"/>
                <w:color w:val="000000" w:themeColor="text1"/>
                <w:sz w:val="21"/>
                <w:szCs w:val="21"/>
                <w:highlight w:val="none"/>
                <w14:textFill>
                  <w14:solidFill>
                    <w14:schemeClr w14:val="tx1"/>
                  </w14:solidFill>
                </w14:textFill>
              </w:rPr>
              <w:t>公用设施建设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项目，故</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不违背平望镇的</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浦南片区</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产业定位。因此，本项目符合《</w:t>
            </w:r>
            <w:r>
              <w:rPr>
                <w:rFonts w:hint="default" w:ascii="Times New Roman" w:hAnsi="Times New Roman" w:eastAsia="宋体" w:cs="Times New Roman"/>
                <w:b w:val="0"/>
                <w:bCs w:val="0"/>
                <w:color w:val="000000" w:themeColor="text1"/>
                <w:spacing w:val="-2"/>
                <w:sz w:val="21"/>
                <w:szCs w:val="21"/>
                <w:highlight w:val="none"/>
                <w14:textFill>
                  <w14:solidFill>
                    <w14:schemeClr w14:val="tx1"/>
                  </w14:solidFill>
                </w14:textFill>
              </w:rPr>
              <w:t>平望镇镇区（浦南片）控制性详细规划调整（2</w:t>
            </w:r>
            <w:r>
              <w:rPr>
                <w:rFonts w:hint="default" w:ascii="Times New Roman" w:hAnsi="Times New Roman" w:eastAsia="宋体" w:cs="Times New Roman"/>
                <w:b w:val="0"/>
                <w:bCs w:val="0"/>
                <w:color w:val="000000" w:themeColor="text1"/>
                <w:spacing w:val="-3"/>
                <w:sz w:val="21"/>
                <w:szCs w:val="21"/>
                <w:highlight w:val="none"/>
                <w14:textFill>
                  <w14:solidFill>
                    <w14:schemeClr w14:val="tx1"/>
                  </w14:solidFill>
                </w14:textFill>
              </w:rPr>
              <w:t>022年）</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》的相关要求。</w:t>
            </w:r>
          </w:p>
          <w:p w14:paraId="607C6BEF">
            <w:pPr>
              <w:pStyle w:val="45"/>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p w14:paraId="0D645487">
            <w:pPr>
              <w:pStyle w:val="45"/>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p>
        </w:tc>
      </w:tr>
      <w:tr w14:paraId="1421F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67" w:type="dxa"/>
            <w:tcBorders>
              <w:top w:val="single" w:color="auto" w:sz="4" w:space="0"/>
            </w:tcBorders>
            <w:vAlign w:val="center"/>
          </w:tcPr>
          <w:p w14:paraId="66E8928A">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其他符合性分析</w:t>
            </w:r>
          </w:p>
        </w:tc>
        <w:tc>
          <w:tcPr>
            <w:tcW w:w="8257" w:type="dxa"/>
            <w:gridSpan w:val="4"/>
            <w:tcBorders>
              <w:top w:val="single" w:color="auto" w:sz="4" w:space="0"/>
            </w:tcBorders>
            <w:vAlign w:val="center"/>
          </w:tcPr>
          <w:p w14:paraId="4BBDDB51">
            <w:pPr>
              <w:pStyle w:val="11"/>
              <w:numPr>
                <w:ilvl w:val="0"/>
                <w:numId w:val="1"/>
              </w:numPr>
              <w:spacing w:line="480" w:lineRule="exact"/>
              <w:ind w:firstLineChars="0"/>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产业政策相符性分析</w:t>
            </w:r>
          </w:p>
          <w:p w14:paraId="2AFE3B3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本项目</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属于天然气锅炉项目</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t>属于平望镇的</w:t>
            </w:r>
            <w:r>
              <w:rPr>
                <w:rFonts w:hint="default" w:ascii="Times New Roman" w:hAnsi="Times New Roman" w:eastAsia="宋体" w:cs="Times New Roman"/>
                <w:color w:val="000000" w:themeColor="text1"/>
                <w:sz w:val="21"/>
                <w:szCs w:val="21"/>
                <w:highlight w:val="none"/>
                <w14:textFill>
                  <w14:solidFill>
                    <w14:schemeClr w14:val="tx1"/>
                  </w14:solidFill>
                </w14:textFill>
              </w:rPr>
              <w:t>集中供热设施建设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和</w:t>
            </w:r>
            <w:r>
              <w:rPr>
                <w:rFonts w:hint="default" w:ascii="Times New Roman" w:hAnsi="Times New Roman" w:eastAsia="宋体" w:cs="Times New Roman"/>
                <w:color w:val="000000" w:themeColor="text1"/>
                <w:sz w:val="21"/>
                <w:szCs w:val="21"/>
                <w:highlight w:val="none"/>
                <w14:textFill>
                  <w14:solidFill>
                    <w14:schemeClr w14:val="tx1"/>
                  </w14:solidFill>
                </w14:textFill>
              </w:rPr>
              <w:t>公用设施建设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14:textFill>
                  <w14:solidFill>
                    <w14:schemeClr w14:val="tx1"/>
                  </w14:solidFill>
                </w14:textFill>
              </w:rPr>
              <w:t>对照国家及地方产业政策进行相符性分析，具体见下表。</w:t>
            </w:r>
          </w:p>
          <w:p w14:paraId="3DAD9959">
            <w:pPr>
              <w:keepNext w:val="0"/>
              <w:keepLines w:val="0"/>
              <w:pageBreakBefore w:val="0"/>
              <w:widowControl w:val="0"/>
              <w:kinsoku/>
              <w:wordWrap/>
              <w:overflowPunct/>
              <w:topLinePunct w:val="0"/>
              <w:bidi w:val="0"/>
              <w:snapToGrid w:val="0"/>
              <w:spacing w:line="360" w:lineRule="auto"/>
              <w:ind w:firstLine="420" w:firstLineChars="200"/>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本项目与国家及地方产业政策相符性分析</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2822"/>
              <w:gridCol w:w="4594"/>
            </w:tblGrid>
            <w:tr w14:paraId="64B64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38" w:type="dxa"/>
                  <w:tcBorders>
                    <w:tl2br w:val="nil"/>
                    <w:tr2bl w:val="nil"/>
                  </w:tcBorders>
                  <w:vAlign w:val="center"/>
                </w:tcPr>
                <w:p w14:paraId="0975722D">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序号</w:t>
                  </w:r>
                </w:p>
              </w:tc>
              <w:tc>
                <w:tcPr>
                  <w:tcW w:w="3040" w:type="dxa"/>
                  <w:tcBorders>
                    <w:tl2br w:val="nil"/>
                    <w:tr2bl w:val="nil"/>
                  </w:tcBorders>
                  <w:vAlign w:val="center"/>
                </w:tcPr>
                <w:p w14:paraId="2386ADCD">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相关文件</w:t>
                  </w:r>
                </w:p>
              </w:tc>
              <w:tc>
                <w:tcPr>
                  <w:tcW w:w="4980" w:type="dxa"/>
                  <w:tcBorders>
                    <w:tl2br w:val="nil"/>
                    <w:tr2bl w:val="nil"/>
                  </w:tcBorders>
                  <w:vAlign w:val="center"/>
                </w:tcPr>
                <w:p w14:paraId="26ED53AF">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相符性分析</w:t>
                  </w:r>
                </w:p>
              </w:tc>
            </w:tr>
            <w:tr w14:paraId="549F5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64A281DB">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3040" w:type="dxa"/>
                  <w:tcBorders>
                    <w:tl2br w:val="nil"/>
                    <w:tr2bl w:val="nil"/>
                  </w:tcBorders>
                  <w:vAlign w:val="center"/>
                </w:tcPr>
                <w:p w14:paraId="09CFE8A5">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《产业结构调整指导目录（2024年本）》</w:t>
                  </w:r>
                </w:p>
              </w:tc>
              <w:tc>
                <w:tcPr>
                  <w:tcW w:w="4980" w:type="dxa"/>
                  <w:tcBorders>
                    <w:tl2br w:val="nil"/>
                    <w:tr2bl w:val="nil"/>
                  </w:tcBorders>
                  <w:vAlign w:val="center"/>
                </w:tcPr>
                <w:p w14:paraId="6A8072FE">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经查《产业结构调整指导目录（2024年本）》，本项目不在其限制类和淘汰类中，为允许类。</w:t>
                  </w:r>
                </w:p>
              </w:tc>
            </w:tr>
            <w:tr w14:paraId="6FD8C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186E8D5F">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3040" w:type="dxa"/>
                  <w:tcBorders>
                    <w:tl2br w:val="nil"/>
                    <w:tr2bl w:val="nil"/>
                  </w:tcBorders>
                  <w:vAlign w:val="center"/>
                </w:tcPr>
                <w:p w14:paraId="39659E8C">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《江苏省太湖流域禁止和限制的产业产品目录（2024年本）》</w:t>
                  </w:r>
                </w:p>
              </w:tc>
              <w:tc>
                <w:tcPr>
                  <w:tcW w:w="4980" w:type="dxa"/>
                  <w:tcBorders>
                    <w:tl2br w:val="nil"/>
                    <w:tr2bl w:val="nil"/>
                  </w:tcBorders>
                  <w:vAlign w:val="center"/>
                </w:tcPr>
                <w:p w14:paraId="18556405">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经查《江苏省太湖流域禁止和限制的产业产品目录（2024年本）》，本项目不在其限制类、淘汰类和禁止类中。</w:t>
                  </w:r>
                </w:p>
              </w:tc>
            </w:tr>
            <w:tr w14:paraId="02467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73F512A9">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3040" w:type="dxa"/>
                  <w:tcBorders>
                    <w:tl2br w:val="nil"/>
                    <w:tr2bl w:val="nil"/>
                  </w:tcBorders>
                  <w:vAlign w:val="center"/>
                </w:tcPr>
                <w:p w14:paraId="673529CF">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《市场准入负面清单》（2025年版）</w:t>
                  </w:r>
                </w:p>
              </w:tc>
              <w:tc>
                <w:tcPr>
                  <w:tcW w:w="4980" w:type="dxa"/>
                  <w:tcBorders>
                    <w:tl2br w:val="nil"/>
                    <w:tr2bl w:val="nil"/>
                  </w:tcBorders>
                  <w:vAlign w:val="center"/>
                </w:tcPr>
                <w:p w14:paraId="54985C83">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《市场准入负面清单》（2025年版）</w:t>
                  </w:r>
                  <w:r>
                    <w:rPr>
                      <w:rFonts w:hint="default" w:ascii="Times New Roman" w:hAnsi="Times New Roman" w:eastAsia="宋体" w:cs="Times New Roman"/>
                      <w:color w:val="000000" w:themeColor="text1"/>
                      <w:sz w:val="18"/>
                      <w:szCs w:val="18"/>
                      <w:highlight w:val="none"/>
                      <w14:textFill>
                        <w14:solidFill>
                          <w14:schemeClr w14:val="tx1"/>
                        </w14:solidFill>
                      </w14:textFill>
                    </w:rPr>
                    <w:t>，本项目不在其禁止准入类和限制准入类中</w:t>
                  </w:r>
                </w:p>
              </w:tc>
            </w:tr>
            <w:tr w14:paraId="6DEA4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18889C80">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4</w:t>
                  </w:r>
                </w:p>
              </w:tc>
              <w:tc>
                <w:tcPr>
                  <w:tcW w:w="3040" w:type="dxa"/>
                  <w:tcBorders>
                    <w:tl2br w:val="nil"/>
                    <w:tr2bl w:val="nil"/>
                  </w:tcBorders>
                  <w:vAlign w:val="center"/>
                </w:tcPr>
                <w:p w14:paraId="4A90B611">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《苏州市产业发展导向目录（2007年本）》</w:t>
                  </w:r>
                </w:p>
              </w:tc>
              <w:tc>
                <w:tcPr>
                  <w:tcW w:w="4980" w:type="dxa"/>
                  <w:tcBorders>
                    <w:tl2br w:val="nil"/>
                    <w:tr2bl w:val="nil"/>
                  </w:tcBorders>
                  <w:vAlign w:val="center"/>
                </w:tcPr>
                <w:p w14:paraId="35B7EE77">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经查《苏州市产业发展导向目录（2007年本）》，本项目不属于其中的限制、禁止和淘汰类产业，为允许类。</w:t>
                  </w:r>
                </w:p>
              </w:tc>
            </w:tr>
            <w:tr w14:paraId="2590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1677855F">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6</w:t>
                  </w:r>
                </w:p>
              </w:tc>
              <w:tc>
                <w:tcPr>
                  <w:tcW w:w="3040" w:type="dxa"/>
                  <w:tcBorders>
                    <w:tl2br w:val="nil"/>
                    <w:tr2bl w:val="nil"/>
                  </w:tcBorders>
                  <w:vAlign w:val="center"/>
                </w:tcPr>
                <w:p w14:paraId="47BCF89B">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《苏州市主体功能区实施意见》</w:t>
                  </w:r>
                </w:p>
              </w:tc>
              <w:tc>
                <w:tcPr>
                  <w:tcW w:w="4980" w:type="dxa"/>
                  <w:tcBorders>
                    <w:tl2br w:val="nil"/>
                    <w:tr2bl w:val="nil"/>
                  </w:tcBorders>
                  <w:vAlign w:val="center"/>
                </w:tcPr>
                <w:p w14:paraId="7CE0AFF2">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经查《苏州市主体功能区实施意见》，本项目不在其限制开发区域和禁止开发区域内。</w:t>
                  </w:r>
                </w:p>
              </w:tc>
            </w:tr>
            <w:tr w14:paraId="449A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2D867FEF">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7</w:t>
                  </w:r>
                </w:p>
              </w:tc>
              <w:tc>
                <w:tcPr>
                  <w:tcW w:w="3040" w:type="dxa"/>
                  <w:tcBorders>
                    <w:tl2br w:val="nil"/>
                    <w:tr2bl w:val="nil"/>
                  </w:tcBorders>
                  <w:vAlign w:val="center"/>
                </w:tcPr>
                <w:p w14:paraId="557F2F6C">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《苏州市“十四五”淘汰落后产能工作实施方案》和《苏州市2022年淘汰落后产能工作要点》</w:t>
                  </w:r>
                </w:p>
              </w:tc>
              <w:tc>
                <w:tcPr>
                  <w:tcW w:w="4980" w:type="dxa"/>
                  <w:tcBorders>
                    <w:tl2br w:val="nil"/>
                    <w:tr2bl w:val="nil"/>
                  </w:tcBorders>
                  <w:vAlign w:val="center"/>
                </w:tcPr>
                <w:p w14:paraId="32E2E8C3">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经查《苏州市“十四五”淘汰落后产能工作实施方案》和《苏州市2022年淘汰落后产能工作要点》，本项目不属于落后产能行业。</w:t>
                  </w:r>
                </w:p>
              </w:tc>
            </w:tr>
            <w:tr w14:paraId="19597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8" w:type="dxa"/>
                  <w:tcBorders>
                    <w:tl2br w:val="nil"/>
                    <w:tr2bl w:val="nil"/>
                  </w:tcBorders>
                  <w:vAlign w:val="center"/>
                </w:tcPr>
                <w:p w14:paraId="36208A63">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8</w:t>
                  </w:r>
                </w:p>
              </w:tc>
              <w:tc>
                <w:tcPr>
                  <w:tcW w:w="3040" w:type="dxa"/>
                  <w:tcBorders>
                    <w:tl2br w:val="nil"/>
                    <w:tr2bl w:val="nil"/>
                  </w:tcBorders>
                  <w:vAlign w:val="center"/>
                </w:tcPr>
                <w:p w14:paraId="0A393F11">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《江苏省“两高”项目管理目录（2024年版）》</w:t>
                  </w:r>
                </w:p>
              </w:tc>
              <w:tc>
                <w:tcPr>
                  <w:tcW w:w="4980" w:type="dxa"/>
                  <w:tcBorders>
                    <w:tl2br w:val="nil"/>
                    <w:tr2bl w:val="nil"/>
                  </w:tcBorders>
                  <w:vAlign w:val="center"/>
                </w:tcPr>
                <w:p w14:paraId="6606E755">
                  <w:pPr>
                    <w:pageBreakBefore w:val="0"/>
                    <w:tabs>
                      <w:tab w:val="left" w:pos="2160"/>
                    </w:tabs>
                    <w:kinsoku/>
                    <w:wordWrap/>
                    <w:overflowPunct/>
                    <w:topLinePunct w:val="0"/>
                    <w:bidi w:val="0"/>
                    <w:snapToGrid w:val="0"/>
                    <w:spacing w:line="240" w:lineRule="auto"/>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经查《江苏省“两高”项目管理目录（2024年版）》，本项目不在“两高”项目管理目录中。</w:t>
                  </w:r>
                </w:p>
              </w:tc>
            </w:tr>
          </w:tbl>
          <w:p w14:paraId="001A25D8">
            <w:pPr>
              <w:pageBreakBefore w:val="0"/>
              <w:kinsoku/>
              <w:wordWrap/>
              <w:overflowPunct/>
              <w:topLinePunct w:val="0"/>
              <w:autoSpaceDE w:val="0"/>
              <w:autoSpaceDN w:val="0"/>
              <w:bidi w:val="0"/>
              <w:adjustRightInd w:val="0"/>
              <w:snapToGrid w:val="0"/>
              <w:spacing w:before="120" w:beforeLines="50"/>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因此，本项目的建设符合国家和地方产业政策。</w:t>
            </w:r>
          </w:p>
          <w:p w14:paraId="06A68AA0">
            <w:pPr>
              <w:autoSpaceDE w:val="0"/>
              <w:autoSpaceDN w:val="0"/>
              <w:adjustRightInd w:val="0"/>
              <w:snapToGrid w:val="0"/>
              <w:spacing w:line="480" w:lineRule="exact"/>
              <w:jc w:val="left"/>
              <w:rPr>
                <w:rFonts w:hint="default" w:ascii="Times New Roman" w:hAnsi="Times New Roman" w:eastAsia="宋体" w:cs="Times New Roman"/>
                <w:b/>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2、“三线一单”相符性分析</w:t>
            </w:r>
          </w:p>
          <w:p w14:paraId="58FBFFF7">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（1）生态保护红线相符性分析</w:t>
            </w:r>
          </w:p>
          <w:p w14:paraId="10AB773F">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本项目位于</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江苏省苏州市吴江区平望镇平运路39号</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，根据《江苏省生态空间管控区域规划》（苏政发</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〔2020〕1号</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）和《江苏省国家级生态红线规划》（苏政发</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〔2018〕74号</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），距离本项目最近的国家级生态红线区域为项目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西北</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侧</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11.9</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km处的</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太湖重要湿地（吴江区）</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，距离本项目最近的江苏省生态空间管控区域为项目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西南侧0.03km处的草荡重要湿地</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，具体情况见下表。</w:t>
            </w:r>
          </w:p>
          <w:p w14:paraId="3498856F">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2308188D">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46CA72B">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B7664A7">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4421EAA">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75B486A0">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D95E5FC">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91B3C9F">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20256AE5">
            <w:pPr>
              <w:snapToGrid w:val="0"/>
              <w:spacing w:line="40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w:t>
            </w:r>
            <w:r>
              <w:rPr>
                <w:rFonts w:hint="eastAsia"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本期项目与附近生态保护红线、生态空间管控区域位置关系</w:t>
            </w:r>
          </w:p>
          <w:tbl>
            <w:tblPr>
              <w:tblStyle w:val="36"/>
              <w:tblpPr w:leftFromText="180" w:rightFromText="180" w:vertAnchor="text" w:horzAnchor="page" w:tblpXSpec="center" w:tblpY="283"/>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9"/>
              <w:gridCol w:w="677"/>
              <w:gridCol w:w="794"/>
              <w:gridCol w:w="2781"/>
              <w:gridCol w:w="850"/>
              <w:gridCol w:w="849"/>
              <w:gridCol w:w="538"/>
              <w:gridCol w:w="668"/>
            </w:tblGrid>
            <w:tr w14:paraId="002D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943" w:type="dxa"/>
                  <w:vMerge w:val="restart"/>
                  <w:tcBorders>
                    <w:tl2br w:val="nil"/>
                    <w:tr2bl w:val="nil"/>
                  </w:tcBorders>
                  <w:shd w:val="clear" w:color="auto" w:fill="auto"/>
                  <w:tcMar>
                    <w:top w:w="12" w:type="dxa"/>
                    <w:left w:w="12" w:type="dxa"/>
                    <w:right w:w="12" w:type="dxa"/>
                  </w:tcMar>
                  <w:vAlign w:val="center"/>
                </w:tcPr>
                <w:p w14:paraId="2F75AEF5">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生态空间保护区域名称</w:t>
                  </w:r>
                </w:p>
              </w:tc>
              <w:tc>
                <w:tcPr>
                  <w:tcW w:w="750" w:type="dxa"/>
                  <w:vMerge w:val="restart"/>
                  <w:tcBorders>
                    <w:tl2br w:val="nil"/>
                    <w:tr2bl w:val="nil"/>
                  </w:tcBorders>
                  <w:shd w:val="clear" w:color="auto" w:fill="auto"/>
                  <w:tcMar>
                    <w:top w:w="12" w:type="dxa"/>
                    <w:left w:w="12" w:type="dxa"/>
                    <w:right w:w="12" w:type="dxa"/>
                  </w:tcMar>
                  <w:vAlign w:val="center"/>
                </w:tcPr>
                <w:p w14:paraId="3CF14C30">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主导生态功能</w:t>
                  </w:r>
                </w:p>
              </w:tc>
              <w:tc>
                <w:tcPr>
                  <w:tcW w:w="4005" w:type="dxa"/>
                  <w:gridSpan w:val="2"/>
                  <w:tcBorders>
                    <w:tl2br w:val="nil"/>
                    <w:tr2bl w:val="nil"/>
                  </w:tcBorders>
                  <w:shd w:val="clear" w:color="auto" w:fill="auto"/>
                  <w:tcMar>
                    <w:top w:w="12" w:type="dxa"/>
                    <w:left w:w="12" w:type="dxa"/>
                    <w:right w:w="12" w:type="dxa"/>
                  </w:tcMar>
                  <w:vAlign w:val="center"/>
                </w:tcPr>
                <w:p w14:paraId="0CF645B6">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范围</w:t>
                  </w:r>
                </w:p>
              </w:tc>
              <w:tc>
                <w:tcPr>
                  <w:tcW w:w="2385" w:type="dxa"/>
                  <w:gridSpan w:val="3"/>
                  <w:tcBorders>
                    <w:tl2br w:val="nil"/>
                    <w:tr2bl w:val="nil"/>
                  </w:tcBorders>
                  <w:shd w:val="clear" w:color="auto" w:fill="auto"/>
                  <w:tcMar>
                    <w:top w:w="12" w:type="dxa"/>
                    <w:left w:w="12" w:type="dxa"/>
                    <w:right w:w="12" w:type="dxa"/>
                  </w:tcMar>
                  <w:vAlign w:val="center"/>
                </w:tcPr>
                <w:p w14:paraId="65D3E830">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面积（平方公里）</w:t>
                  </w:r>
                </w:p>
              </w:tc>
              <w:tc>
                <w:tcPr>
                  <w:tcW w:w="711" w:type="dxa"/>
                  <w:vMerge w:val="restart"/>
                  <w:tcBorders>
                    <w:tl2br w:val="nil"/>
                    <w:tr2bl w:val="nil"/>
                  </w:tcBorders>
                  <w:shd w:val="clear" w:color="auto" w:fill="auto"/>
                  <w:vAlign w:val="center"/>
                </w:tcPr>
                <w:p w14:paraId="6C2F973C">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相对位置及距离(km)</w:t>
                  </w:r>
                </w:p>
              </w:tc>
            </w:tr>
            <w:tr w14:paraId="26865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943" w:type="dxa"/>
                  <w:vMerge w:val="continue"/>
                  <w:tcBorders>
                    <w:tl2br w:val="nil"/>
                    <w:tr2bl w:val="nil"/>
                  </w:tcBorders>
                  <w:shd w:val="clear" w:color="auto" w:fill="auto"/>
                  <w:tcMar>
                    <w:top w:w="12" w:type="dxa"/>
                    <w:left w:w="12" w:type="dxa"/>
                    <w:right w:w="12" w:type="dxa"/>
                  </w:tcMar>
                  <w:vAlign w:val="center"/>
                </w:tcPr>
                <w:p w14:paraId="20037615">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pacing w:val="0"/>
                      <w:sz w:val="18"/>
                      <w:szCs w:val="18"/>
                      <w:highlight w:val="none"/>
                      <w:shd w:val="clear" w:color="auto" w:fill="auto"/>
                      <w14:textFill>
                        <w14:solidFill>
                          <w14:schemeClr w14:val="tx1"/>
                        </w14:solidFill>
                      </w14:textFill>
                    </w:rPr>
                  </w:pPr>
                </w:p>
              </w:tc>
              <w:tc>
                <w:tcPr>
                  <w:tcW w:w="750" w:type="dxa"/>
                  <w:vMerge w:val="continue"/>
                  <w:tcBorders>
                    <w:tl2br w:val="nil"/>
                    <w:tr2bl w:val="nil"/>
                  </w:tcBorders>
                  <w:shd w:val="clear" w:color="auto" w:fill="auto"/>
                  <w:tcMar>
                    <w:top w:w="12" w:type="dxa"/>
                    <w:left w:w="12" w:type="dxa"/>
                    <w:right w:w="12" w:type="dxa"/>
                  </w:tcMar>
                  <w:vAlign w:val="center"/>
                </w:tcPr>
                <w:p w14:paraId="37A75B37">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pacing w:val="0"/>
                      <w:sz w:val="18"/>
                      <w:szCs w:val="18"/>
                      <w:highlight w:val="none"/>
                      <w:shd w:val="clear" w:color="auto" w:fill="auto"/>
                      <w14:textFill>
                        <w14:solidFill>
                          <w14:schemeClr w14:val="tx1"/>
                        </w14:solidFill>
                      </w14:textFill>
                    </w:rPr>
                  </w:pPr>
                </w:p>
              </w:tc>
              <w:tc>
                <w:tcPr>
                  <w:tcW w:w="885" w:type="dxa"/>
                  <w:tcBorders>
                    <w:tl2br w:val="nil"/>
                    <w:tr2bl w:val="nil"/>
                  </w:tcBorders>
                  <w:shd w:val="clear" w:color="auto" w:fill="auto"/>
                  <w:tcMar>
                    <w:top w:w="12" w:type="dxa"/>
                    <w:left w:w="12" w:type="dxa"/>
                    <w:right w:w="12" w:type="dxa"/>
                  </w:tcMar>
                  <w:vAlign w:val="center"/>
                </w:tcPr>
                <w:p w14:paraId="3FFBF614">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国家级生态保护红线范围</w:t>
                  </w:r>
                </w:p>
              </w:tc>
              <w:tc>
                <w:tcPr>
                  <w:tcW w:w="3120" w:type="dxa"/>
                  <w:tcBorders>
                    <w:tl2br w:val="nil"/>
                    <w:tr2bl w:val="nil"/>
                  </w:tcBorders>
                  <w:shd w:val="clear" w:color="auto" w:fill="auto"/>
                  <w:tcMar>
                    <w:top w:w="12" w:type="dxa"/>
                    <w:left w:w="12" w:type="dxa"/>
                    <w:right w:w="12" w:type="dxa"/>
                  </w:tcMar>
                  <w:vAlign w:val="center"/>
                </w:tcPr>
                <w:p w14:paraId="6E98E68A">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生态空间管控区域范围</w:t>
                  </w:r>
                </w:p>
              </w:tc>
              <w:tc>
                <w:tcPr>
                  <w:tcW w:w="915" w:type="dxa"/>
                  <w:tcBorders>
                    <w:tl2br w:val="nil"/>
                    <w:tr2bl w:val="nil"/>
                  </w:tcBorders>
                  <w:shd w:val="clear" w:color="auto" w:fill="auto"/>
                  <w:tcMar>
                    <w:top w:w="12" w:type="dxa"/>
                    <w:left w:w="12" w:type="dxa"/>
                    <w:right w:w="12" w:type="dxa"/>
                  </w:tcMar>
                  <w:vAlign w:val="center"/>
                </w:tcPr>
                <w:p w14:paraId="0690EE95">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国家级生态保护红线面积</w:t>
                  </w:r>
                </w:p>
              </w:tc>
              <w:tc>
                <w:tcPr>
                  <w:tcW w:w="915" w:type="dxa"/>
                  <w:tcBorders>
                    <w:tl2br w:val="nil"/>
                    <w:tr2bl w:val="nil"/>
                  </w:tcBorders>
                  <w:shd w:val="clear" w:color="auto" w:fill="auto"/>
                  <w:tcMar>
                    <w:top w:w="12" w:type="dxa"/>
                    <w:left w:w="12" w:type="dxa"/>
                    <w:right w:w="12" w:type="dxa"/>
                  </w:tcMar>
                  <w:vAlign w:val="center"/>
                </w:tcPr>
                <w:p w14:paraId="4BDCA87F">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生态空间管控区域面积</w:t>
                  </w:r>
                </w:p>
              </w:tc>
              <w:tc>
                <w:tcPr>
                  <w:tcW w:w="555" w:type="dxa"/>
                  <w:tcBorders>
                    <w:tl2br w:val="nil"/>
                    <w:tr2bl w:val="nil"/>
                  </w:tcBorders>
                  <w:shd w:val="clear" w:color="auto" w:fill="auto"/>
                  <w:tcMar>
                    <w:top w:w="12" w:type="dxa"/>
                    <w:left w:w="12" w:type="dxa"/>
                    <w:right w:w="12" w:type="dxa"/>
                  </w:tcMar>
                  <w:vAlign w:val="center"/>
                </w:tcPr>
                <w:p w14:paraId="47640D1D">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
                      <w:bCs/>
                      <w:color w:val="000000" w:themeColor="text1"/>
                      <w:spacing w:val="0"/>
                      <w:sz w:val="18"/>
                      <w:szCs w:val="18"/>
                      <w:highlight w:val="none"/>
                      <w:shd w:val="clear" w:color="auto" w:fill="auto"/>
                      <w:lang w:bidi="ar"/>
                      <w14:textFill>
                        <w14:solidFill>
                          <w14:schemeClr w14:val="tx1"/>
                        </w14:solidFill>
                      </w14:textFill>
                    </w:rPr>
                    <w:t>总面积</w:t>
                  </w:r>
                </w:p>
              </w:tc>
              <w:tc>
                <w:tcPr>
                  <w:tcW w:w="711" w:type="dxa"/>
                  <w:vMerge w:val="continue"/>
                  <w:tcBorders>
                    <w:tl2br w:val="nil"/>
                    <w:tr2bl w:val="nil"/>
                  </w:tcBorders>
                  <w:shd w:val="clear" w:color="auto" w:fill="auto"/>
                  <w:vAlign w:val="center"/>
                </w:tcPr>
                <w:p w14:paraId="12FCDC47">
                  <w:pPr>
                    <w:pStyle w:val="27"/>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pacing w:val="0"/>
                      <w:sz w:val="18"/>
                      <w:szCs w:val="18"/>
                      <w:highlight w:val="none"/>
                      <w:shd w:val="clear" w:color="auto" w:fill="auto"/>
                      <w:lang w:bidi="ar"/>
                      <w14:textFill>
                        <w14:solidFill>
                          <w14:schemeClr w14:val="tx1"/>
                        </w14:solidFill>
                      </w14:textFill>
                    </w:rPr>
                  </w:pPr>
                </w:p>
              </w:tc>
            </w:tr>
            <w:tr w14:paraId="79D34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246035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草荡重要湿地</w:t>
                  </w:r>
                </w:p>
              </w:tc>
              <w:tc>
                <w:tcPr>
                  <w:tcW w:w="750" w:type="dxa"/>
                  <w:tcBorders>
                    <w:tl2br w:val="nil"/>
                    <w:tr2bl w:val="nil"/>
                  </w:tcBorders>
                  <w:shd w:val="clear" w:color="auto" w:fill="auto"/>
                  <w:tcMar>
                    <w:top w:w="12" w:type="dxa"/>
                    <w:left w:w="12" w:type="dxa"/>
                    <w:right w:w="12" w:type="dxa"/>
                  </w:tcMar>
                  <w:vAlign w:val="center"/>
                </w:tcPr>
                <w:p w14:paraId="2A003F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湿地生态系统</w:t>
                  </w:r>
                </w:p>
              </w:tc>
              <w:tc>
                <w:tcPr>
                  <w:tcW w:w="885" w:type="dxa"/>
                  <w:tcBorders>
                    <w:tl2br w:val="nil"/>
                    <w:tr2bl w:val="nil"/>
                  </w:tcBorders>
                  <w:shd w:val="clear" w:color="auto" w:fill="auto"/>
                  <w:tcMar>
                    <w:top w:w="12" w:type="dxa"/>
                    <w:left w:w="12" w:type="dxa"/>
                    <w:right w:w="12" w:type="dxa"/>
                  </w:tcMar>
                  <w:vAlign w:val="center"/>
                </w:tcPr>
                <w:p w14:paraId="02135B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SA"/>
                      <w14:textFill>
                        <w14:solidFill>
                          <w14:schemeClr w14:val="tx1"/>
                        </w14:solidFill>
                      </w14:textFill>
                    </w:rPr>
                    <w:t>/</w:t>
                  </w:r>
                </w:p>
              </w:tc>
              <w:tc>
                <w:tcPr>
                  <w:tcW w:w="3120" w:type="dxa"/>
                  <w:tcBorders>
                    <w:tl2br w:val="nil"/>
                    <w:tr2bl w:val="nil"/>
                  </w:tcBorders>
                  <w:shd w:val="clear" w:color="auto" w:fill="auto"/>
                  <w:tcMar>
                    <w:top w:w="12" w:type="dxa"/>
                    <w:left w:w="12" w:type="dxa"/>
                    <w:right w:w="12" w:type="dxa"/>
                  </w:tcMar>
                  <w:vAlign w:val="center"/>
                </w:tcPr>
                <w:p w14:paraId="3A2B7CA4">
                  <w:pPr>
                    <w:pStyle w:val="225"/>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草荡水体范围</w:t>
                  </w:r>
                </w:p>
              </w:tc>
              <w:tc>
                <w:tcPr>
                  <w:tcW w:w="915" w:type="dxa"/>
                  <w:tcBorders>
                    <w:tl2br w:val="nil"/>
                    <w:tr2bl w:val="nil"/>
                  </w:tcBorders>
                  <w:shd w:val="clear" w:color="auto" w:fill="auto"/>
                  <w:tcMar>
                    <w:top w:w="12" w:type="dxa"/>
                    <w:left w:w="12" w:type="dxa"/>
                    <w:right w:w="12" w:type="dxa"/>
                  </w:tcMar>
                  <w:vAlign w:val="center"/>
                </w:tcPr>
                <w:p w14:paraId="302E595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2BBA8D4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2.14</w:t>
                  </w:r>
                </w:p>
              </w:tc>
              <w:tc>
                <w:tcPr>
                  <w:tcW w:w="555" w:type="dxa"/>
                  <w:tcBorders>
                    <w:tl2br w:val="nil"/>
                    <w:tr2bl w:val="nil"/>
                  </w:tcBorders>
                  <w:shd w:val="clear" w:color="auto" w:fill="auto"/>
                  <w:tcMar>
                    <w:top w:w="12" w:type="dxa"/>
                    <w:left w:w="12" w:type="dxa"/>
                    <w:right w:w="12" w:type="dxa"/>
                  </w:tcMar>
                  <w:vAlign w:val="center"/>
                </w:tcPr>
                <w:p w14:paraId="611735E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2.14</w:t>
                  </w:r>
                </w:p>
              </w:tc>
              <w:tc>
                <w:tcPr>
                  <w:tcW w:w="711" w:type="dxa"/>
                  <w:tcBorders>
                    <w:tl2br w:val="nil"/>
                    <w:tr2bl w:val="nil"/>
                  </w:tcBorders>
                  <w:shd w:val="clear" w:color="auto" w:fill="auto"/>
                  <w:vAlign w:val="center"/>
                </w:tcPr>
                <w:p w14:paraId="0EDFAB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t>西南，0.03</w:t>
                  </w:r>
                </w:p>
              </w:tc>
            </w:tr>
            <w:tr w14:paraId="35C29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657115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bCs/>
                      <w:color w:val="000000" w:themeColor="text1"/>
                      <w:spacing w:val="0"/>
                      <w:sz w:val="18"/>
                      <w:szCs w:val="18"/>
                      <w:highlight w:val="none"/>
                      <w:shd w:val="clear" w:color="auto" w:fill="auto"/>
                      <w14:textFill>
                        <w14:solidFill>
                          <w14:schemeClr w14:val="tx1"/>
                        </w14:solidFill>
                      </w14:textFill>
                    </w:rPr>
                    <w:t>莺脰湖重要湿地</w:t>
                  </w:r>
                </w:p>
              </w:tc>
              <w:tc>
                <w:tcPr>
                  <w:tcW w:w="750" w:type="dxa"/>
                  <w:tcBorders>
                    <w:tl2br w:val="nil"/>
                    <w:tr2bl w:val="nil"/>
                  </w:tcBorders>
                  <w:shd w:val="clear" w:color="auto" w:fill="auto"/>
                  <w:tcMar>
                    <w:top w:w="12" w:type="dxa"/>
                    <w:left w:w="12" w:type="dxa"/>
                    <w:right w:w="12" w:type="dxa"/>
                  </w:tcMar>
                  <w:vAlign w:val="center"/>
                </w:tcPr>
                <w:p w14:paraId="40F0965A">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bCs/>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湿地</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生态系统</w:t>
                  </w:r>
                </w:p>
              </w:tc>
              <w:tc>
                <w:tcPr>
                  <w:tcW w:w="885" w:type="dxa"/>
                  <w:tcBorders>
                    <w:tl2br w:val="nil"/>
                    <w:tr2bl w:val="nil"/>
                  </w:tcBorders>
                  <w:shd w:val="clear" w:color="auto" w:fill="auto"/>
                  <w:tcMar>
                    <w:top w:w="12" w:type="dxa"/>
                    <w:left w:w="12" w:type="dxa"/>
                    <w:right w:w="12" w:type="dxa"/>
                  </w:tcMar>
                  <w:vAlign w:val="center"/>
                </w:tcPr>
                <w:p w14:paraId="35A9A28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0"/>
                      <w:sz w:val="18"/>
                      <w:szCs w:val="18"/>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3120" w:type="dxa"/>
                  <w:tcBorders>
                    <w:tl2br w:val="nil"/>
                    <w:tr2bl w:val="nil"/>
                  </w:tcBorders>
                  <w:shd w:val="clear" w:color="auto" w:fill="auto"/>
                  <w:tcMar>
                    <w:top w:w="12" w:type="dxa"/>
                    <w:left w:w="12" w:type="dxa"/>
                    <w:right w:w="12" w:type="dxa"/>
                  </w:tcMar>
                  <w:vAlign w:val="center"/>
                </w:tcPr>
                <w:p w14:paraId="5E38DE72">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0"/>
                      <w:sz w:val="18"/>
                      <w:szCs w:val="18"/>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莺脰湖水体范围</w:t>
                  </w:r>
                </w:p>
              </w:tc>
              <w:tc>
                <w:tcPr>
                  <w:tcW w:w="915" w:type="dxa"/>
                  <w:tcBorders>
                    <w:tl2br w:val="nil"/>
                    <w:tr2bl w:val="nil"/>
                  </w:tcBorders>
                  <w:shd w:val="clear" w:color="auto" w:fill="auto"/>
                  <w:tcMar>
                    <w:top w:w="12" w:type="dxa"/>
                    <w:left w:w="12" w:type="dxa"/>
                    <w:right w:w="12" w:type="dxa"/>
                  </w:tcMar>
                  <w:vAlign w:val="center"/>
                </w:tcPr>
                <w:p w14:paraId="06C6D2E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71E29D2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0"/>
                      <w:kern w:val="2"/>
                      <w:sz w:val="18"/>
                      <w:szCs w:val="18"/>
                      <w:highlight w:val="none"/>
                      <w:shd w:val="clear" w:color="auto" w:fill="auto"/>
                      <w:lang w:val="en-US" w:eastAsia="zh-CN" w:bidi="ar-SA"/>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2.11</w:t>
                  </w:r>
                </w:p>
              </w:tc>
              <w:tc>
                <w:tcPr>
                  <w:tcW w:w="555" w:type="dxa"/>
                  <w:tcBorders>
                    <w:tl2br w:val="nil"/>
                    <w:tr2bl w:val="nil"/>
                  </w:tcBorders>
                  <w:shd w:val="clear" w:color="auto" w:fill="auto"/>
                  <w:tcMar>
                    <w:top w:w="12" w:type="dxa"/>
                    <w:left w:w="12" w:type="dxa"/>
                    <w:right w:w="12" w:type="dxa"/>
                  </w:tcMar>
                  <w:vAlign w:val="center"/>
                </w:tcPr>
                <w:p w14:paraId="5C764E8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0"/>
                      <w:sz w:val="18"/>
                      <w:szCs w:val="18"/>
                      <w:highlight w:val="none"/>
                      <w:shd w:val="clear" w:color="auto" w:fill="auto"/>
                      <w:lang w:val="en-US" w:eastAsia="zh-CN"/>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2.11</w:t>
                  </w:r>
                </w:p>
              </w:tc>
              <w:tc>
                <w:tcPr>
                  <w:tcW w:w="711" w:type="dxa"/>
                  <w:tcBorders>
                    <w:tl2br w:val="nil"/>
                    <w:tr2bl w:val="nil"/>
                  </w:tcBorders>
                  <w:shd w:val="clear" w:color="auto" w:fill="auto"/>
                  <w:vAlign w:val="center"/>
                </w:tcPr>
                <w:p w14:paraId="6FBA47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东南，0.54</w:t>
                  </w:r>
                </w:p>
              </w:tc>
            </w:tr>
            <w:tr w14:paraId="0F6C5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19828741">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7"/>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大龙荡重要湿地</w:t>
                  </w:r>
                </w:p>
              </w:tc>
              <w:tc>
                <w:tcPr>
                  <w:tcW w:w="750" w:type="dxa"/>
                  <w:tcBorders>
                    <w:tl2br w:val="nil"/>
                    <w:tr2bl w:val="nil"/>
                  </w:tcBorders>
                  <w:shd w:val="clear" w:color="auto" w:fill="auto"/>
                  <w:tcMar>
                    <w:top w:w="12" w:type="dxa"/>
                    <w:left w:w="12" w:type="dxa"/>
                    <w:right w:w="12" w:type="dxa"/>
                  </w:tcMar>
                  <w:vAlign w:val="center"/>
                </w:tcPr>
                <w:p w14:paraId="44AE4524">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3"/>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湿地生态系统</w:t>
                  </w:r>
                </w:p>
              </w:tc>
              <w:tc>
                <w:tcPr>
                  <w:tcW w:w="885" w:type="dxa"/>
                  <w:tcBorders>
                    <w:tl2br w:val="nil"/>
                    <w:tr2bl w:val="nil"/>
                  </w:tcBorders>
                  <w:shd w:val="clear" w:color="auto" w:fill="auto"/>
                  <w:tcMar>
                    <w:top w:w="12" w:type="dxa"/>
                    <w:left w:w="12" w:type="dxa"/>
                    <w:right w:w="12" w:type="dxa"/>
                  </w:tcMar>
                  <w:vAlign w:val="center"/>
                </w:tcPr>
                <w:p w14:paraId="2228B56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2"/>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lang w:val="en-US" w:eastAsia="zh-CN"/>
                      <w14:textFill>
                        <w14:solidFill>
                          <w14:schemeClr w14:val="tx1"/>
                        </w14:solidFill>
                      </w14:textFill>
                    </w:rPr>
                    <w:t>/</w:t>
                  </w:r>
                </w:p>
              </w:tc>
              <w:tc>
                <w:tcPr>
                  <w:tcW w:w="3120" w:type="dxa"/>
                  <w:tcBorders>
                    <w:tl2br w:val="nil"/>
                    <w:tr2bl w:val="nil"/>
                  </w:tcBorders>
                  <w:shd w:val="clear" w:color="auto" w:fill="auto"/>
                  <w:tcMar>
                    <w:top w:w="12" w:type="dxa"/>
                    <w:left w:w="12" w:type="dxa"/>
                    <w:right w:w="12" w:type="dxa"/>
                  </w:tcMar>
                  <w:vAlign w:val="center"/>
                </w:tcPr>
                <w:p w14:paraId="49EC370C">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8"/>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南北快速干线以西，大龙荡水体范围</w:t>
                  </w:r>
                </w:p>
              </w:tc>
              <w:tc>
                <w:tcPr>
                  <w:tcW w:w="915" w:type="dxa"/>
                  <w:tcBorders>
                    <w:tl2br w:val="nil"/>
                    <w:tr2bl w:val="nil"/>
                  </w:tcBorders>
                  <w:shd w:val="clear" w:color="auto" w:fill="auto"/>
                  <w:tcMar>
                    <w:top w:w="12" w:type="dxa"/>
                    <w:left w:w="12" w:type="dxa"/>
                    <w:right w:w="12" w:type="dxa"/>
                  </w:tcMar>
                  <w:vAlign w:val="center"/>
                </w:tcPr>
                <w:p w14:paraId="65D0490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lang w:val="en-US" w:eastAsia="zh-CN"/>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64EA93C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2"/>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lang w:val="en-US" w:eastAsia="zh-CN"/>
                      <w14:textFill>
                        <w14:solidFill>
                          <w14:schemeClr w14:val="tx1"/>
                        </w14:solidFill>
                      </w14:textFill>
                    </w:rPr>
                    <w:t>2.00</w:t>
                  </w:r>
                </w:p>
              </w:tc>
              <w:tc>
                <w:tcPr>
                  <w:tcW w:w="555" w:type="dxa"/>
                  <w:tcBorders>
                    <w:tl2br w:val="nil"/>
                    <w:tr2bl w:val="nil"/>
                  </w:tcBorders>
                  <w:shd w:val="clear" w:color="auto" w:fill="auto"/>
                  <w:tcMar>
                    <w:top w:w="12" w:type="dxa"/>
                    <w:left w:w="12" w:type="dxa"/>
                    <w:right w:w="12" w:type="dxa"/>
                  </w:tcMar>
                  <w:vAlign w:val="center"/>
                </w:tcPr>
                <w:p w14:paraId="16E81A4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lang w:val="en-US" w:eastAsia="zh-CN"/>
                      <w14:textFill>
                        <w14:solidFill>
                          <w14:schemeClr w14:val="tx1"/>
                        </w14:solidFill>
                      </w14:textFill>
                    </w:rPr>
                    <w:t>2.00</w:t>
                  </w:r>
                </w:p>
              </w:tc>
              <w:tc>
                <w:tcPr>
                  <w:tcW w:w="711" w:type="dxa"/>
                  <w:tcBorders>
                    <w:tl2br w:val="nil"/>
                    <w:tr2bl w:val="nil"/>
                  </w:tcBorders>
                  <w:shd w:val="clear" w:color="auto" w:fill="auto"/>
                  <w:vAlign w:val="center"/>
                </w:tcPr>
                <w:p w14:paraId="3FF9F4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西北，1.63</w:t>
                  </w:r>
                </w:p>
              </w:tc>
            </w:tr>
            <w:tr w14:paraId="69A96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35BD359E">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太浦河清</w:t>
                  </w:r>
                  <w: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t>水通道维</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护区</w:t>
                  </w:r>
                </w:p>
              </w:tc>
              <w:tc>
                <w:tcPr>
                  <w:tcW w:w="750" w:type="dxa"/>
                  <w:tcBorders>
                    <w:tl2br w:val="nil"/>
                    <w:tr2bl w:val="nil"/>
                  </w:tcBorders>
                  <w:shd w:val="clear" w:color="auto" w:fill="auto"/>
                  <w:tcMar>
                    <w:top w:w="12" w:type="dxa"/>
                    <w:left w:w="12" w:type="dxa"/>
                    <w:right w:w="12" w:type="dxa"/>
                  </w:tcMar>
                  <w:vAlign w:val="center"/>
                </w:tcPr>
                <w:p w14:paraId="51A92AF7">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水源</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水质保护</w:t>
                  </w:r>
                </w:p>
              </w:tc>
              <w:tc>
                <w:tcPr>
                  <w:tcW w:w="885" w:type="dxa"/>
                  <w:tcBorders>
                    <w:tl2br w:val="nil"/>
                    <w:tr2bl w:val="nil"/>
                  </w:tcBorders>
                  <w:shd w:val="clear" w:color="auto" w:fill="auto"/>
                  <w:tcMar>
                    <w:top w:w="12" w:type="dxa"/>
                    <w:left w:w="12" w:type="dxa"/>
                    <w:right w:w="12" w:type="dxa"/>
                  </w:tcMar>
                  <w:vAlign w:val="center"/>
                </w:tcPr>
                <w:p w14:paraId="6EEC04D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3120" w:type="dxa"/>
                  <w:tcBorders>
                    <w:tl2br w:val="nil"/>
                    <w:tr2bl w:val="nil"/>
                  </w:tcBorders>
                  <w:shd w:val="clear" w:color="auto" w:fill="auto"/>
                  <w:tcMar>
                    <w:top w:w="12" w:type="dxa"/>
                    <w:left w:w="12" w:type="dxa"/>
                    <w:right w:w="12" w:type="dxa"/>
                  </w:tcMar>
                  <w:vAlign w:val="center"/>
                </w:tcPr>
                <w:p w14:paraId="787C070E">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太浦河及两岸各</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50米范围（不包括</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汾湖部分）</w:t>
                  </w:r>
                </w:p>
              </w:tc>
              <w:tc>
                <w:tcPr>
                  <w:tcW w:w="915" w:type="dxa"/>
                  <w:tcBorders>
                    <w:tl2br w:val="nil"/>
                    <w:tr2bl w:val="nil"/>
                  </w:tcBorders>
                  <w:shd w:val="clear" w:color="auto" w:fill="auto"/>
                  <w:tcMar>
                    <w:top w:w="12" w:type="dxa"/>
                    <w:left w:w="12" w:type="dxa"/>
                    <w:right w:w="12" w:type="dxa"/>
                  </w:tcMar>
                  <w:vAlign w:val="center"/>
                </w:tcPr>
                <w:p w14:paraId="53CADEB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1C96C50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10.49</w:t>
                  </w:r>
                </w:p>
              </w:tc>
              <w:tc>
                <w:tcPr>
                  <w:tcW w:w="555" w:type="dxa"/>
                  <w:tcBorders>
                    <w:tl2br w:val="nil"/>
                    <w:tr2bl w:val="nil"/>
                  </w:tcBorders>
                  <w:shd w:val="clear" w:color="auto" w:fill="auto"/>
                  <w:tcMar>
                    <w:top w:w="12" w:type="dxa"/>
                    <w:left w:w="12" w:type="dxa"/>
                    <w:right w:w="12" w:type="dxa"/>
                  </w:tcMar>
                  <w:vAlign w:val="center"/>
                </w:tcPr>
                <w:p w14:paraId="182157E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10.49</w:t>
                  </w:r>
                </w:p>
              </w:tc>
              <w:tc>
                <w:tcPr>
                  <w:tcW w:w="711" w:type="dxa"/>
                  <w:tcBorders>
                    <w:tl2br w:val="nil"/>
                    <w:tr2bl w:val="nil"/>
                  </w:tcBorders>
                  <w:shd w:val="clear" w:color="auto" w:fill="auto"/>
                  <w:vAlign w:val="center"/>
                </w:tcPr>
                <w:p w14:paraId="7668ED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pacing w:val="0"/>
                      <w:kern w:val="2"/>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北，2.2</w:t>
                  </w:r>
                </w:p>
              </w:tc>
            </w:tr>
            <w:tr w14:paraId="3C12F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7C6C8E4D">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5"/>
                      <w:sz w:val="18"/>
                      <w:szCs w:val="18"/>
                      <w:highlight w:val="none"/>
                      <w14:textFill>
                        <w14:solidFill>
                          <w14:schemeClr w14:val="tx1"/>
                        </w14:solidFill>
                      </w14:textFill>
                    </w:rPr>
                    <w:t>太湖（吴江</w:t>
                  </w: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区）重要保</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护区</w:t>
                  </w:r>
                </w:p>
              </w:tc>
              <w:tc>
                <w:tcPr>
                  <w:tcW w:w="750" w:type="dxa"/>
                  <w:tcBorders>
                    <w:tl2br w:val="nil"/>
                    <w:tr2bl w:val="nil"/>
                  </w:tcBorders>
                  <w:shd w:val="clear" w:color="auto" w:fill="auto"/>
                  <w:tcMar>
                    <w:top w:w="12" w:type="dxa"/>
                    <w:left w:w="12" w:type="dxa"/>
                    <w:right w:w="12" w:type="dxa"/>
                  </w:tcMar>
                  <w:vAlign w:val="center"/>
                </w:tcPr>
                <w:p w14:paraId="7C3CE708">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湿地</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生态系统</w:t>
                  </w:r>
                </w:p>
              </w:tc>
              <w:tc>
                <w:tcPr>
                  <w:tcW w:w="885" w:type="dxa"/>
                  <w:tcBorders>
                    <w:tl2br w:val="nil"/>
                    <w:tr2bl w:val="nil"/>
                  </w:tcBorders>
                  <w:shd w:val="clear" w:color="auto" w:fill="auto"/>
                  <w:tcMar>
                    <w:top w:w="12" w:type="dxa"/>
                    <w:left w:w="12" w:type="dxa"/>
                    <w:right w:w="12" w:type="dxa"/>
                  </w:tcMar>
                  <w:vAlign w:val="center"/>
                </w:tcPr>
                <w:p w14:paraId="63764DD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3120" w:type="dxa"/>
                  <w:tcBorders>
                    <w:tl2br w:val="nil"/>
                    <w:tr2bl w:val="nil"/>
                  </w:tcBorders>
                  <w:shd w:val="clear" w:color="auto" w:fill="auto"/>
                  <w:tcMar>
                    <w:top w:w="12" w:type="dxa"/>
                    <w:left w:w="12" w:type="dxa"/>
                    <w:right w:w="12" w:type="dxa"/>
                  </w:tcMar>
                  <w:vAlign w:val="center"/>
                </w:tcPr>
                <w:p w14:paraId="4C1BC500">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分为两部分，湖体和湖岸。湖体为吴</w:t>
                  </w:r>
                  <w:r>
                    <w:rPr>
                      <w:rFonts w:hint="default" w:ascii="Times New Roman" w:hAnsi="Times New Roman" w:eastAsia="宋体" w:cs="Times New Roman"/>
                      <w:color w:val="000000" w:themeColor="text1"/>
                      <w:spacing w:val="23"/>
                      <w:sz w:val="18"/>
                      <w:szCs w:val="18"/>
                      <w:highlight w:val="none"/>
                      <w14:textFill>
                        <w14:solidFill>
                          <w14:schemeClr w14:val="tx1"/>
                        </w14:solidFill>
                      </w14:textFill>
                    </w:rPr>
                    <w:t>江区内太湖水体</w:t>
                  </w: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（不包括庙港饮用水源保护区）湖岸部分为除太湖新城</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外沿湖岸5公里范</w:t>
                  </w: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围（不包括太浦河清水通道维护区、松陵镇和七都镇部分镇区</w:t>
                  </w:r>
                  <w:r>
                    <w:rPr>
                      <w:rFonts w:hint="default" w:ascii="Times New Roman" w:hAnsi="Times New Roman" w:eastAsia="宋体" w:cs="Times New Roman"/>
                      <w:color w:val="000000" w:themeColor="text1"/>
                      <w:spacing w:val="8"/>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，太湖新城（吴江区）太湖沿</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湖岸大堤1公里陆</w:t>
                  </w:r>
                  <w: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t>域范围</w:t>
                  </w:r>
                </w:p>
              </w:tc>
              <w:tc>
                <w:tcPr>
                  <w:tcW w:w="915" w:type="dxa"/>
                  <w:tcBorders>
                    <w:tl2br w:val="nil"/>
                    <w:tr2bl w:val="nil"/>
                  </w:tcBorders>
                  <w:shd w:val="clear" w:color="auto" w:fill="auto"/>
                  <w:tcMar>
                    <w:top w:w="12" w:type="dxa"/>
                    <w:left w:w="12" w:type="dxa"/>
                    <w:right w:w="12" w:type="dxa"/>
                  </w:tcMar>
                  <w:vAlign w:val="center"/>
                </w:tcPr>
                <w:p w14:paraId="55CEEC9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09ACD80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180.8</w:t>
                  </w:r>
                </w:p>
              </w:tc>
              <w:tc>
                <w:tcPr>
                  <w:tcW w:w="555" w:type="dxa"/>
                  <w:tcBorders>
                    <w:tl2br w:val="nil"/>
                    <w:tr2bl w:val="nil"/>
                  </w:tcBorders>
                  <w:shd w:val="clear" w:color="auto" w:fill="auto"/>
                  <w:tcMar>
                    <w:top w:w="12" w:type="dxa"/>
                    <w:left w:w="12" w:type="dxa"/>
                    <w:right w:w="12" w:type="dxa"/>
                  </w:tcMar>
                  <w:vAlign w:val="center"/>
                </w:tcPr>
                <w:p w14:paraId="280E786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180.8</w:t>
                  </w:r>
                </w:p>
              </w:tc>
              <w:tc>
                <w:tcPr>
                  <w:tcW w:w="711" w:type="dxa"/>
                  <w:tcBorders>
                    <w:tl2br w:val="nil"/>
                    <w:tr2bl w:val="nil"/>
                  </w:tcBorders>
                  <w:shd w:val="clear" w:color="auto" w:fill="auto"/>
                  <w:vAlign w:val="center"/>
                </w:tcPr>
                <w:p w14:paraId="0180A5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西南，2.95</w:t>
                  </w:r>
                </w:p>
              </w:tc>
            </w:tr>
            <w:tr w14:paraId="7CFE7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43" w:type="dxa"/>
                  <w:tcBorders>
                    <w:tl2br w:val="nil"/>
                    <w:tr2bl w:val="nil"/>
                  </w:tcBorders>
                  <w:shd w:val="clear" w:color="auto" w:fill="auto"/>
                  <w:tcMar>
                    <w:top w:w="12" w:type="dxa"/>
                    <w:left w:w="12" w:type="dxa"/>
                    <w:right w:w="12" w:type="dxa"/>
                  </w:tcMar>
                  <w:vAlign w:val="center"/>
                </w:tcPr>
                <w:p w14:paraId="099AF584">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5"/>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5"/>
                      <w:sz w:val="18"/>
                      <w:szCs w:val="18"/>
                      <w:highlight w:val="none"/>
                      <w14:textFill>
                        <w14:solidFill>
                          <w14:schemeClr w14:val="tx1"/>
                        </w14:solidFill>
                      </w14:textFill>
                    </w:rPr>
                    <w:t>太湖重要湿地（吴江区）</w:t>
                  </w:r>
                </w:p>
              </w:tc>
              <w:tc>
                <w:tcPr>
                  <w:tcW w:w="750" w:type="dxa"/>
                  <w:tcBorders>
                    <w:tl2br w:val="nil"/>
                    <w:tr2bl w:val="nil"/>
                  </w:tcBorders>
                  <w:shd w:val="clear" w:color="auto" w:fill="auto"/>
                  <w:tcMar>
                    <w:top w:w="12" w:type="dxa"/>
                    <w:left w:w="12" w:type="dxa"/>
                    <w:right w:w="12" w:type="dxa"/>
                  </w:tcMar>
                  <w:vAlign w:val="center"/>
                </w:tcPr>
                <w:p w14:paraId="446EC464">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4"/>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湿地生态系统保护</w:t>
                  </w:r>
                </w:p>
              </w:tc>
              <w:tc>
                <w:tcPr>
                  <w:tcW w:w="885" w:type="dxa"/>
                  <w:tcBorders>
                    <w:tl2br w:val="nil"/>
                    <w:tr2bl w:val="nil"/>
                  </w:tcBorders>
                  <w:shd w:val="clear" w:color="auto" w:fill="auto"/>
                  <w:tcMar>
                    <w:top w:w="12" w:type="dxa"/>
                    <w:left w:w="12" w:type="dxa"/>
                    <w:right w:w="12" w:type="dxa"/>
                  </w:tcMar>
                  <w:vAlign w:val="center"/>
                </w:tcPr>
                <w:p w14:paraId="7EB48B5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2"/>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太湖湖体水域</w:t>
                  </w:r>
                </w:p>
              </w:tc>
              <w:tc>
                <w:tcPr>
                  <w:tcW w:w="3120" w:type="dxa"/>
                  <w:tcBorders>
                    <w:tl2br w:val="nil"/>
                    <w:tr2bl w:val="nil"/>
                  </w:tcBorders>
                  <w:shd w:val="clear" w:color="auto" w:fill="auto"/>
                  <w:tcMar>
                    <w:top w:w="12" w:type="dxa"/>
                    <w:left w:w="12" w:type="dxa"/>
                    <w:right w:w="12" w:type="dxa"/>
                  </w:tcMar>
                  <w:vAlign w:val="center"/>
                </w:tcPr>
                <w:p w14:paraId="25ACA9DF">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8"/>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lang w:val="en-US" w:eastAsia="zh-CN"/>
                      <w14:textFill>
                        <w14:solidFill>
                          <w14:schemeClr w14:val="tx1"/>
                        </w14:solidFill>
                      </w14:textFill>
                    </w:rPr>
                    <w:t>/</w:t>
                  </w:r>
                </w:p>
              </w:tc>
              <w:tc>
                <w:tcPr>
                  <w:tcW w:w="915" w:type="dxa"/>
                  <w:tcBorders>
                    <w:tl2br w:val="nil"/>
                    <w:tr2bl w:val="nil"/>
                  </w:tcBorders>
                  <w:shd w:val="clear" w:color="auto" w:fill="auto"/>
                  <w:tcMar>
                    <w:top w:w="12" w:type="dxa"/>
                    <w:left w:w="12" w:type="dxa"/>
                    <w:right w:w="12" w:type="dxa"/>
                  </w:tcMar>
                  <w:vAlign w:val="center"/>
                </w:tcPr>
                <w:p w14:paraId="5D9756F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72.43</w:t>
                  </w:r>
                </w:p>
              </w:tc>
              <w:tc>
                <w:tcPr>
                  <w:tcW w:w="915" w:type="dxa"/>
                  <w:tcBorders>
                    <w:tl2br w:val="nil"/>
                    <w:tr2bl w:val="nil"/>
                  </w:tcBorders>
                  <w:shd w:val="clear" w:color="auto" w:fill="auto"/>
                  <w:tcMar>
                    <w:top w:w="12" w:type="dxa"/>
                    <w:left w:w="12" w:type="dxa"/>
                    <w:right w:w="12" w:type="dxa"/>
                  </w:tcMar>
                  <w:vAlign w:val="center"/>
                </w:tcPr>
                <w:p w14:paraId="3ECC313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2"/>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2"/>
                      <w:sz w:val="18"/>
                      <w:szCs w:val="18"/>
                      <w:highlight w:val="none"/>
                      <w:lang w:val="en-US" w:eastAsia="zh-CN"/>
                      <w14:textFill>
                        <w14:solidFill>
                          <w14:schemeClr w14:val="tx1"/>
                        </w14:solidFill>
                      </w14:textFill>
                    </w:rPr>
                    <w:t>/</w:t>
                  </w:r>
                </w:p>
              </w:tc>
              <w:tc>
                <w:tcPr>
                  <w:tcW w:w="555" w:type="dxa"/>
                  <w:tcBorders>
                    <w:tl2br w:val="nil"/>
                    <w:tr2bl w:val="nil"/>
                  </w:tcBorders>
                  <w:shd w:val="clear" w:color="auto" w:fill="auto"/>
                  <w:tcMar>
                    <w:top w:w="12" w:type="dxa"/>
                    <w:left w:w="12" w:type="dxa"/>
                    <w:right w:w="12" w:type="dxa"/>
                  </w:tcMar>
                  <w:vAlign w:val="center"/>
                </w:tcPr>
                <w:p w14:paraId="15AF996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pacing w:val="-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72.43</w:t>
                  </w:r>
                </w:p>
              </w:tc>
              <w:tc>
                <w:tcPr>
                  <w:tcW w:w="711" w:type="dxa"/>
                  <w:tcBorders>
                    <w:tl2br w:val="nil"/>
                    <w:tr2bl w:val="nil"/>
                  </w:tcBorders>
                  <w:shd w:val="clear" w:color="auto" w:fill="auto"/>
                  <w:vAlign w:val="center"/>
                </w:tcPr>
                <w:p w14:paraId="1E400A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西北，11.9</w:t>
                  </w:r>
                </w:p>
              </w:tc>
            </w:tr>
          </w:tbl>
          <w:p w14:paraId="5F628ECD">
            <w:pPr>
              <w:adjustRightInd w:val="0"/>
              <w:snapToGrid w:val="0"/>
              <w:spacing w:line="40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由上表可知，本期项目距离最近的生态红线为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北方向的</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太湖重要湿地（吴江区）</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，与其边界最近距离约</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11.9</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km；最近的生态空间管控区为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南方向的</w:t>
            </w:r>
            <w:r>
              <w:rPr>
                <w:rFonts w:hint="default" w:ascii="Times New Roman" w:hAnsi="Times New Roman" w:eastAsia="宋体" w:cs="Times New Roman"/>
                <w:color w:val="000000" w:themeColor="text1"/>
                <w:sz w:val="21"/>
                <w:szCs w:val="21"/>
                <w:highlight w:val="none"/>
                <w14:textFill>
                  <w14:solidFill>
                    <w14:schemeClr w14:val="tx1"/>
                  </w14:solidFill>
                </w14:textFill>
              </w:rPr>
              <w:t>草荡重要湿地</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，与其边界最近距离约</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0.03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km；本期项目不在生态红线及生态空间管控区域范围内，因此本期项目的建设符合《江苏省国家级生态保护红线规划》、《江苏省生态空间管控区域规划》的相关要求。</w:t>
            </w:r>
          </w:p>
          <w:p w14:paraId="596DC61E">
            <w:pPr>
              <w:adjustRightInd w:val="0"/>
              <w:snapToGrid w:val="0"/>
              <w:spacing w:line="440" w:lineRule="exact"/>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环境质量底线相符性分析</w:t>
            </w:r>
          </w:p>
          <w:p w14:paraId="2942F241">
            <w:pPr>
              <w:adjustRightInd w:val="0"/>
              <w:snapToGrid w:val="0"/>
              <w:spacing w:line="440" w:lineRule="exact"/>
              <w:ind w:firstLine="420" w:firstLineChars="200"/>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w:t>
            </w:r>
            <w:r>
              <w:rPr>
                <w:rFonts w:hint="eastAsia" w:cs="Times New Roman"/>
                <w:color w:val="000000" w:themeColor="text1"/>
                <w:kern w:val="0"/>
                <w:sz w:val="21"/>
                <w:szCs w:val="21"/>
                <w:highlight w:val="none"/>
                <w:lang w:eastAsia="zh-CN"/>
                <w14:textFill>
                  <w14:solidFill>
                    <w14:schemeClr w14:val="tx1"/>
                  </w14:solidFill>
                </w14:textFill>
              </w:rPr>
              <w:t>2024年度苏州市生态环境状况公报</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》，2024年苏州市全市环境空气质量平均优良天数比率为85.8%，同比上升4.4个百分点，苏州市区臭氧浓度超过二级标准，PM</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、NOx、PM</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10</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和CO浓度达标，苏州市政府通过一系列治理措施，可有效改善当地大气环境；纳入“十四五”国家地表水环境质量考核的30个断面中，年平均水质达到或好于《地表水环境质量标准》（GB3838-2002）Ⅲ类标准的断面比例为93.3%，</w:t>
            </w:r>
            <w:r>
              <w:rPr>
                <w:rFonts w:hint="default" w:ascii="Times New Roman" w:hAnsi="Times New Roman" w:eastAsia="宋体" w:cs="Times New Roman"/>
                <w:color w:val="000000" w:themeColor="text1"/>
                <w:szCs w:val="21"/>
                <w:highlight w:val="none"/>
                <w14:textFill>
                  <w14:solidFill>
                    <w14:schemeClr w14:val="tx1"/>
                  </w14:solidFill>
                </w14:textFill>
              </w:rPr>
              <w:t>同比</w:t>
            </w:r>
            <w:r>
              <w:rPr>
                <w:rFonts w:hint="eastAsia" w:cs="Times New Roman"/>
                <w:color w:val="000000" w:themeColor="text1"/>
                <w:szCs w:val="21"/>
                <w:highlight w:val="none"/>
                <w:lang w:val="en-US" w:eastAsia="zh-CN"/>
                <w14:textFill>
                  <w14:solidFill>
                    <w14:schemeClr w14:val="tx1"/>
                  </w14:solidFill>
                </w14:textFill>
              </w:rPr>
              <w:t>持平</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未达Ⅲ类的2个断面为Ⅳ类（均为湖泊）</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。年均水质达到II类标准的断面比例为</w:t>
            </w:r>
            <w:r>
              <w:rPr>
                <w:rFonts w:hint="eastAsia" w:cs="Times New Roman"/>
                <w:color w:val="000000" w:themeColor="text1"/>
                <w:kern w:val="0"/>
                <w:sz w:val="2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3.3%，同比上升</w:t>
            </w:r>
            <w:r>
              <w:rPr>
                <w:rFonts w:hint="eastAsia" w:cs="Times New Roman"/>
                <w:color w:val="000000" w:themeColor="text1"/>
                <w:kern w:val="0"/>
                <w:sz w:val="21"/>
                <w:szCs w:val="21"/>
                <w:highlight w:val="none"/>
                <w:lang w:val="en-US" w:eastAsia="zh-CN"/>
                <w14:textFill>
                  <w14:solidFill>
                    <w14:schemeClr w14:val="tx1"/>
                  </w14:solidFill>
                </w14:textFill>
              </w:rPr>
              <w:t>10.0</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个百分点，II类水体比例全省第一。</w:t>
            </w:r>
            <w:r>
              <w:rPr>
                <w:rFonts w:hint="default" w:ascii="Times New Roman" w:hAnsi="Times New Roman" w:eastAsia="宋体" w:cs="Times New Roman"/>
                <w:color w:val="000000" w:themeColor="text1"/>
                <w:szCs w:val="21"/>
                <w:highlight w:val="none"/>
                <w14:textFill>
                  <w14:solidFill>
                    <w14:schemeClr w14:val="tx1"/>
                  </w14:solidFill>
                </w14:textFill>
              </w:rPr>
              <w:t>202</w:t>
            </w:r>
            <w:r>
              <w:rPr>
                <w:rFonts w:hint="eastAsia"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年，</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纳入江苏省“十四五”水环境质量考核的80个地表水断面（含国考断面）中，年均水质达到或好于《地表水环境质量标准》（GB3838-2002）Ⅲ类标准的断面比例为9</w:t>
            </w:r>
            <w:r>
              <w:rPr>
                <w:rFonts w:hint="eastAsia" w:cs="Times New Roman"/>
                <w:color w:val="000000" w:themeColor="text1"/>
                <w:kern w:val="0"/>
                <w:sz w:val="21"/>
                <w:szCs w:val="21"/>
                <w:highlight w:val="none"/>
                <w:lang w:val="en-US" w:eastAsia="zh-CN"/>
                <w14:textFill>
                  <w14:solidFill>
                    <w14:schemeClr w14:val="tx1"/>
                  </w14:solidFill>
                </w14:textFill>
              </w:rPr>
              <w:t>7.5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%，同比上升2.5个百分点；</w:t>
            </w:r>
            <w:r>
              <w:rPr>
                <w:rFonts w:hint="default" w:ascii="Times New Roman" w:hAnsi="Times New Roman" w:eastAsia="宋体" w:cs="Times New Roman"/>
                <w:color w:val="000000" w:themeColor="text1"/>
                <w:szCs w:val="21"/>
                <w:highlight w:val="none"/>
                <w14:textFill>
                  <w14:solidFill>
                    <w14:schemeClr w14:val="tx1"/>
                  </w14:solidFill>
                </w14:textFill>
              </w:rPr>
              <w:t>未达Ⅲ类的4个断面为Ⅳ类（均为湖泊）。年均水质达到Ⅱ类标准的断面比例为6</w:t>
            </w:r>
            <w:r>
              <w:rPr>
                <w:rFonts w:hint="eastAsia" w:cs="Times New Roman"/>
                <w:color w:val="000000" w:themeColor="text1"/>
                <w:szCs w:val="21"/>
                <w:highlight w:val="none"/>
                <w:lang w:val="en-US" w:eastAsia="zh-CN"/>
                <w14:textFill>
                  <w14:solidFill>
                    <w14:schemeClr w14:val="tx1"/>
                  </w14:solidFill>
                </w14:textFill>
              </w:rPr>
              <w:t>8.8</w:t>
            </w:r>
            <w:r>
              <w:rPr>
                <w:rFonts w:hint="default" w:ascii="Times New Roman" w:hAnsi="Times New Roman" w:eastAsia="宋体" w:cs="Times New Roman"/>
                <w:color w:val="000000" w:themeColor="text1"/>
                <w:szCs w:val="21"/>
                <w:highlight w:val="none"/>
                <w14:textFill>
                  <w14:solidFill>
                    <w14:schemeClr w14:val="tx1"/>
                  </w14:solidFill>
                </w14:textFill>
              </w:rPr>
              <w:t>%，同比上升2.5个百分点，Ⅱ类水体比例全省第二。</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太湖湖体（苏州辖区）总体水质处于Ⅲ类</w:t>
            </w:r>
            <w:r>
              <w:rPr>
                <w:rFonts w:hint="eastAsia"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根据实测，本期项目地声环境可达到《声环境质量标准》（GB3096-2008）2类</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3类及4a类</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标准；本期项目投产后在达标排放的前提下对周围的水、气、声环境影响较小，在可控制范围内，不会改变现有的环境质量类别，不会突破环境质量底线。</w:t>
            </w:r>
          </w:p>
          <w:p w14:paraId="7A0E5C67">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（3）资源利用上线相符性分析</w:t>
            </w:r>
          </w:p>
          <w:p w14:paraId="573485FA">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 xml:space="preserve">  本项目为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天然气锅炉项目</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利用现有厂区的预留空地进行建设，不新增用地。本</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项目用水</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来源为新运河地表水</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用电由原燃气蒸汽联合循环机组供给</w:t>
            </w:r>
            <w:r>
              <w:rPr>
                <w:rFonts w:hint="eastAsia" w:cs="Times New Roman"/>
                <w:color w:val="000000" w:themeColor="text1"/>
                <w:kern w:val="0"/>
                <w:sz w:val="21"/>
                <w:szCs w:val="21"/>
                <w:highlight w:val="none"/>
                <w:lang w:eastAsia="zh-CN"/>
                <w14:textFill>
                  <w14:solidFill>
                    <w14:schemeClr w14:val="tx1"/>
                  </w14:solidFill>
                </w14:textFill>
              </w:rPr>
              <w:t>，</w:t>
            </w:r>
            <w:r>
              <w:rPr>
                <w:rFonts w:hint="eastAsia" w:cs="Times New Roman"/>
                <w:color w:val="000000" w:themeColor="text1"/>
                <w:kern w:val="0"/>
                <w:sz w:val="21"/>
                <w:szCs w:val="21"/>
                <w:highlight w:val="none"/>
                <w:lang w:val="en-US" w:eastAsia="zh-CN"/>
                <w14:textFill>
                  <w14:solidFill>
                    <w14:schemeClr w14:val="tx1"/>
                  </w14:solidFill>
                </w14:textFill>
              </w:rPr>
              <w:t>机组停用时由国网江苏省电力有限公司苏州市吴江区供电分公司供给</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资源消耗主要体现在对水、电等资源的利用上。本项目将全过程贯彻清洁生产、循环经济理念，通过采用节水工艺、节电设备等手段，在区域规划及规划环评规定的资源利用上线内所占比例很小。因此，本项目建设符合资源利用上限要求。</w:t>
            </w:r>
          </w:p>
          <w:p w14:paraId="1981645D">
            <w:pPr>
              <w:numPr>
                <w:ilvl w:val="0"/>
                <w:numId w:val="2"/>
              </w:num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《长江经济带发展负面清单指南（试行，2022年版）江苏省实施细则条款》相符性分析</w:t>
            </w:r>
          </w:p>
          <w:p w14:paraId="6C0762FF">
            <w:pPr>
              <w:keepNext/>
              <w:keepLines/>
              <w:numPr>
                <w:ilvl w:val="2"/>
                <w:numId w:val="0"/>
              </w:numPr>
              <w:tabs>
                <w:tab w:val="left" w:pos="720"/>
              </w:tabs>
              <w:snapToGrid w:val="0"/>
              <w:jc w:val="center"/>
              <w:outlineLvl w:val="2"/>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w:t>
            </w:r>
            <w:r>
              <w:rPr>
                <w:rFonts w:hint="eastAsia"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本期项目与《长江经济带发展负面清单指南（试行，2022年版）江苏省实施细则条款》相符性分析</w:t>
            </w:r>
          </w:p>
          <w:tbl>
            <w:tblPr>
              <w:tblStyle w:val="36"/>
              <w:tblW w:w="499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5010"/>
              <w:gridCol w:w="1130"/>
              <w:gridCol w:w="957"/>
            </w:tblGrid>
            <w:tr w14:paraId="7763E7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64" w:type="pct"/>
                  <w:tcBorders>
                    <w:top w:val="single" w:color="auto" w:sz="12" w:space="0"/>
                    <w:bottom w:val="double" w:color="auto" w:sz="4" w:space="0"/>
                  </w:tcBorders>
                  <w:shd w:val="clear" w:color="auto" w:fill="auto"/>
                  <w:vAlign w:val="center"/>
                </w:tcPr>
                <w:p w14:paraId="7E16B25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内容</w:t>
                  </w:r>
                </w:p>
              </w:tc>
              <w:tc>
                <w:tcPr>
                  <w:tcW w:w="3131" w:type="pct"/>
                  <w:tcBorders>
                    <w:top w:val="single" w:color="auto" w:sz="12" w:space="0"/>
                    <w:bottom w:val="double" w:color="auto" w:sz="4" w:space="0"/>
                  </w:tcBorders>
                  <w:shd w:val="clear" w:color="auto" w:fill="auto"/>
                  <w:vAlign w:val="center"/>
                </w:tcPr>
                <w:p w14:paraId="0137FF8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文件要求</w:t>
                  </w:r>
                </w:p>
              </w:tc>
              <w:tc>
                <w:tcPr>
                  <w:tcW w:w="706" w:type="pct"/>
                  <w:tcBorders>
                    <w:top w:val="single" w:color="auto" w:sz="12" w:space="0"/>
                    <w:bottom w:val="double" w:color="auto" w:sz="4" w:space="0"/>
                  </w:tcBorders>
                  <w:shd w:val="clear" w:color="auto" w:fill="auto"/>
                  <w:vAlign w:val="center"/>
                </w:tcPr>
                <w:p w14:paraId="1DD376B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598" w:type="pct"/>
                  <w:tcBorders>
                    <w:top w:val="single" w:color="auto" w:sz="12" w:space="0"/>
                    <w:bottom w:val="double" w:color="auto" w:sz="4" w:space="0"/>
                  </w:tcBorders>
                  <w:shd w:val="clear" w:color="auto" w:fill="auto"/>
                  <w:vAlign w:val="center"/>
                </w:tcPr>
                <w:p w14:paraId="1439564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4B85E0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564" w:type="pct"/>
                  <w:vMerge w:val="restart"/>
                  <w:tcBorders>
                    <w:top w:val="double" w:color="auto" w:sz="4" w:space="0"/>
                  </w:tcBorders>
                  <w:shd w:val="clear" w:color="auto" w:fill="auto"/>
                  <w:vAlign w:val="center"/>
                </w:tcPr>
                <w:p w14:paraId="08CD05A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一、河段利用与岸线开发</w:t>
                  </w:r>
                </w:p>
              </w:tc>
              <w:tc>
                <w:tcPr>
                  <w:tcW w:w="3131" w:type="pct"/>
                  <w:tcBorders>
                    <w:top w:val="double" w:color="auto" w:sz="4" w:space="0"/>
                  </w:tcBorders>
                  <w:shd w:val="clear" w:color="auto" w:fill="auto"/>
                  <w:vAlign w:val="center"/>
                </w:tcPr>
                <w:p w14:paraId="45594F7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禁止建设不符合国家港口布局规划和《江苏省沿江沿海港口布局规划(2015-2030年）》《江苏省内河港口布局规划(2017-2035年）》以及我省有关港口总体规划 的码头项目，禁止建设未纳入《长江干线过江通道布局规划》的过长江通道项目</w:t>
                  </w:r>
                </w:p>
              </w:tc>
              <w:tc>
                <w:tcPr>
                  <w:tcW w:w="706" w:type="pct"/>
                  <w:tcBorders>
                    <w:top w:val="double" w:color="auto" w:sz="4" w:space="0"/>
                  </w:tcBorders>
                  <w:shd w:val="clear" w:color="auto" w:fill="auto"/>
                  <w:vAlign w:val="center"/>
                </w:tcPr>
                <w:p w14:paraId="6F9B09B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tcBorders>
                    <w:top w:val="double" w:color="auto" w:sz="4" w:space="0"/>
                  </w:tcBorders>
                  <w:shd w:val="clear" w:color="auto" w:fill="auto"/>
                  <w:vAlign w:val="center"/>
                </w:tcPr>
                <w:p w14:paraId="664841B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CF9D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75D7BBF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56E74DE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 和河段范围内投资建设与风景名胜资源保护无关的项目。自然保护区、风景名胜区由省林业局会同有关方面界定并落实管控责任</w:t>
                  </w:r>
                </w:p>
              </w:tc>
              <w:tc>
                <w:tcPr>
                  <w:tcW w:w="706" w:type="pct"/>
                  <w:shd w:val="clear" w:color="auto" w:fill="auto"/>
                  <w:vAlign w:val="center"/>
                </w:tcPr>
                <w:p w14:paraId="26651F4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39804E2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3D46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7125A9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1AFEE44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削减排污量。饮用水水源一级保护区、二级保护区、准保护区由省生态环境厅会同水利等有关方面界定并落实管控责任</w:t>
                  </w:r>
                </w:p>
              </w:tc>
              <w:tc>
                <w:tcPr>
                  <w:tcW w:w="706" w:type="pct"/>
                  <w:shd w:val="clear" w:color="auto" w:fill="auto"/>
                  <w:vAlign w:val="center"/>
                </w:tcPr>
                <w:p w14:paraId="01F9AAE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26E2CF4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979E3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2741F53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24BD343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水产种质资源保护区、国家湿地公园分别 由省农业农村厅、省林业局会同有关方面界定并落实管控责任</w:t>
                  </w:r>
                </w:p>
              </w:tc>
              <w:tc>
                <w:tcPr>
                  <w:tcW w:w="706" w:type="pct"/>
                  <w:shd w:val="clear" w:color="auto" w:fill="auto"/>
                  <w:vAlign w:val="center"/>
                </w:tcPr>
                <w:p w14:paraId="39ACC21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73D261F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67A44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0636A46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6607EB8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706" w:type="pct"/>
                  <w:shd w:val="clear" w:color="auto" w:fill="auto"/>
                  <w:vAlign w:val="center"/>
                </w:tcPr>
                <w:p w14:paraId="0CB6907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5FDE8CF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8C2A8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44073FB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4233E15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禁止未经许可在长江干支流及湖泊新设、改设或扩大排污口</w:t>
                  </w:r>
                </w:p>
              </w:tc>
              <w:tc>
                <w:tcPr>
                  <w:tcW w:w="706" w:type="pct"/>
                  <w:shd w:val="clear" w:color="auto" w:fill="auto"/>
                  <w:vAlign w:val="center"/>
                </w:tcPr>
                <w:p w14:paraId="1E7C103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683905A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B1F45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64" w:type="pct"/>
                  <w:vMerge w:val="restart"/>
                  <w:shd w:val="clear" w:color="auto" w:fill="auto"/>
                  <w:vAlign w:val="center"/>
                </w:tcPr>
                <w:p w14:paraId="61379C1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二、区域活动</w:t>
                  </w:r>
                </w:p>
              </w:tc>
              <w:tc>
                <w:tcPr>
                  <w:tcW w:w="3131" w:type="pct"/>
                  <w:shd w:val="clear" w:color="auto" w:fill="auto"/>
                  <w:vAlign w:val="center"/>
                </w:tcPr>
                <w:p w14:paraId="370C439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禁止长江干流、长江口、34个列入《率先全面禁捕的长江流域水生生物保护区名录》的水生生物保护区以及省规定的其它禁渔水域开展生产性捕捞</w:t>
                  </w:r>
                </w:p>
              </w:tc>
              <w:tc>
                <w:tcPr>
                  <w:tcW w:w="706" w:type="pct"/>
                  <w:shd w:val="clear" w:color="auto" w:fill="auto"/>
                  <w:vAlign w:val="center"/>
                </w:tcPr>
                <w:p w14:paraId="0917CA7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0466106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91DC5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05E6E2B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59D6F2A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禁止在距离长江干支流岸线一公里范围内新建、扩建化工园区和化工项目。长江干支流一公里按照长江干支流岸线边界（即水利部门河道管理范围边界）向陆域纵深一公里执行</w:t>
                  </w:r>
                </w:p>
              </w:tc>
              <w:tc>
                <w:tcPr>
                  <w:tcW w:w="706" w:type="pct"/>
                  <w:shd w:val="clear" w:color="auto" w:fill="auto"/>
                  <w:vAlign w:val="center"/>
                </w:tcPr>
                <w:p w14:paraId="7DE1122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7615647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2827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673BEF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2D110AA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禁止在长江干流岸线三公里范围内新建、改建、扩建尾矿库、冶炼渣库和磷石膏库，以提升安全、生态环境保护水平为目的的改建除外</w:t>
                  </w:r>
                </w:p>
              </w:tc>
              <w:tc>
                <w:tcPr>
                  <w:tcW w:w="706" w:type="pct"/>
                  <w:shd w:val="clear" w:color="auto" w:fill="auto"/>
                  <w:vAlign w:val="center"/>
                </w:tcPr>
                <w:p w14:paraId="24BD2FF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7291A03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6E27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70A672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60FCCD8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禁止在大湖流域－、二、三级保护区内开展《江苏省大 湖水污染防治条例》禁止的投资建设活动</w:t>
                  </w:r>
                </w:p>
              </w:tc>
              <w:tc>
                <w:tcPr>
                  <w:tcW w:w="706" w:type="pct"/>
                  <w:shd w:val="clear" w:color="auto" w:fill="auto"/>
                  <w:vAlign w:val="center"/>
                </w:tcPr>
                <w:p w14:paraId="732D4BB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1CFA61E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FCF9D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6B4DE69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1E43950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禁止在沿江地区新建、扩建未纳入国家和省布局规划的燃煤发电项目</w:t>
                  </w:r>
                </w:p>
              </w:tc>
              <w:tc>
                <w:tcPr>
                  <w:tcW w:w="706" w:type="pct"/>
                  <w:shd w:val="clear" w:color="auto" w:fill="auto"/>
                  <w:vAlign w:val="center"/>
                </w:tcPr>
                <w:p w14:paraId="5CB9577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595D4D7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DBA03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7DBE28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7F710EA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禁止在合规园区外新建、扩建钢铁、石化、化工、焦化、建材、有色、制浆造纸等高污染项目。合规园区名录按照《&lt;长江经济带发展负面清单指南（试行，2022年版）&gt;江苏省实施细则合规园区名录》执行</w:t>
                  </w:r>
                </w:p>
              </w:tc>
              <w:tc>
                <w:tcPr>
                  <w:tcW w:w="706" w:type="pct"/>
                  <w:shd w:val="clear" w:color="auto" w:fill="auto"/>
                  <w:vAlign w:val="center"/>
                </w:tcPr>
                <w:p w14:paraId="4FC80A0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3A26220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FEF4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6FBC65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4A70CD9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禁止在取消化工定位的园区（集中区）内新建化工项目</w:t>
                  </w:r>
                </w:p>
              </w:tc>
              <w:tc>
                <w:tcPr>
                  <w:tcW w:w="706" w:type="pct"/>
                  <w:shd w:val="clear" w:color="auto" w:fill="auto"/>
                  <w:vAlign w:val="center"/>
                </w:tcPr>
                <w:p w14:paraId="46D3589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25FAB65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7B419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4834F8D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1FD9E7F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禁止在化工企业周边建设不符合安全距离规定的劳动密集型的非化工项目和其他人员密集的公共设施项目</w:t>
                  </w:r>
                </w:p>
              </w:tc>
              <w:tc>
                <w:tcPr>
                  <w:tcW w:w="706" w:type="pct"/>
                  <w:shd w:val="clear" w:color="auto" w:fill="auto"/>
                  <w:vAlign w:val="center"/>
                </w:tcPr>
                <w:p w14:paraId="4830C60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2DDECDE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D4C2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564" w:type="pct"/>
                  <w:vMerge w:val="restart"/>
                  <w:shd w:val="clear" w:color="auto" w:fill="auto"/>
                  <w:vAlign w:val="center"/>
                </w:tcPr>
                <w:p w14:paraId="195CF38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三、产业发展</w:t>
                  </w:r>
                </w:p>
              </w:tc>
              <w:tc>
                <w:tcPr>
                  <w:tcW w:w="3131" w:type="pct"/>
                  <w:shd w:val="clear" w:color="auto" w:fill="auto"/>
                  <w:vAlign w:val="center"/>
                </w:tcPr>
                <w:p w14:paraId="44A6B78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禁止新建、扩建不符合国家和省产业政策的尿素、磷铵、电石、烧碱、聚氯乙烯、纯碱等行业新增产能项目</w:t>
                  </w:r>
                </w:p>
              </w:tc>
              <w:tc>
                <w:tcPr>
                  <w:tcW w:w="706" w:type="pct"/>
                  <w:shd w:val="clear" w:color="auto" w:fill="auto"/>
                  <w:vAlign w:val="center"/>
                </w:tcPr>
                <w:p w14:paraId="51AED2D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037A481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E83FE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564" w:type="pct"/>
                  <w:vMerge w:val="continue"/>
                  <w:shd w:val="clear" w:color="auto" w:fill="auto"/>
                  <w:vAlign w:val="center"/>
                </w:tcPr>
                <w:p w14:paraId="240CBCB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36CF0EB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禁止新建、改建、扩建高毒、高残留以及对环境影响大的农药原药（化学合成类）项目，禁止新建、扩建不符合国家和省产业政策的农药、医药和染料中间体化工项目</w:t>
                  </w:r>
                </w:p>
              </w:tc>
              <w:tc>
                <w:tcPr>
                  <w:tcW w:w="706" w:type="pct"/>
                  <w:shd w:val="clear" w:color="auto" w:fill="auto"/>
                  <w:vAlign w:val="center"/>
                </w:tcPr>
                <w:p w14:paraId="0B8ACA3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1C84A4A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D52D1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18B501E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6194DB9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禁止新建、扩建不符合国家石化、现代煤化工等产业布局规划的项目，禁止新建独立焦化项目</w:t>
                  </w:r>
                </w:p>
              </w:tc>
              <w:tc>
                <w:tcPr>
                  <w:tcW w:w="706" w:type="pct"/>
                  <w:shd w:val="clear" w:color="auto" w:fill="auto"/>
                  <w:vAlign w:val="center"/>
                </w:tcPr>
                <w:p w14:paraId="69E1179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2078921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488C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34346D6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2EC0A7A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禁止新建、扩建国家《产业结构调整指导目录》 《江苏省产业结构调整限制、淘汰和禁止目录》明确的限制类、淘汰类、禁止类项目，法律法规和相关政策明令禁止的落后产能项目，以及明令淘汰的安全生产落后工艺及装备项目</w:t>
                  </w:r>
                </w:p>
              </w:tc>
              <w:tc>
                <w:tcPr>
                  <w:tcW w:w="706" w:type="pct"/>
                  <w:shd w:val="clear" w:color="auto" w:fill="auto"/>
                  <w:vAlign w:val="center"/>
                </w:tcPr>
                <w:p w14:paraId="58EB2DD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40C9AAE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3E83E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668D46D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2B2D1FF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禁止新建、扩建不符合国家产能置换要求的严重过剩产能行业的项目。禁止新建、扩建不符合要求的高耗能高排放项目</w:t>
                  </w:r>
                </w:p>
              </w:tc>
              <w:tc>
                <w:tcPr>
                  <w:tcW w:w="706" w:type="pct"/>
                  <w:shd w:val="clear" w:color="auto" w:fill="auto"/>
                  <w:vAlign w:val="center"/>
                </w:tcPr>
                <w:p w14:paraId="31C27BC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32E8BD7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CAFA0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4" w:type="pct"/>
                  <w:vMerge w:val="continue"/>
                  <w:shd w:val="clear" w:color="auto" w:fill="auto"/>
                  <w:vAlign w:val="center"/>
                </w:tcPr>
                <w:p w14:paraId="174C149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31" w:type="pct"/>
                  <w:shd w:val="clear" w:color="auto" w:fill="auto"/>
                  <w:vAlign w:val="center"/>
                </w:tcPr>
                <w:p w14:paraId="76103E4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法律法规及 相关政策文件有更加严格规定的从其规定</w:t>
                  </w:r>
                </w:p>
              </w:tc>
              <w:tc>
                <w:tcPr>
                  <w:tcW w:w="706" w:type="pct"/>
                  <w:shd w:val="clear" w:color="auto" w:fill="auto"/>
                  <w:vAlign w:val="center"/>
                </w:tcPr>
                <w:p w14:paraId="747FDE6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598" w:type="pct"/>
                  <w:shd w:val="clear" w:color="auto" w:fill="auto"/>
                  <w:vAlign w:val="center"/>
                </w:tcPr>
                <w:p w14:paraId="58B4F0B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6F7A7FFC">
            <w:pPr>
              <w:keepNext/>
              <w:keepLines/>
              <w:numPr>
                <w:ilvl w:val="2"/>
                <w:numId w:val="0"/>
              </w:numPr>
              <w:tabs>
                <w:tab w:val="left" w:pos="720"/>
              </w:tabs>
              <w:snapToGrid w:val="0"/>
              <w:jc w:val="center"/>
              <w:outlineLvl w:val="2"/>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5C42BC37">
            <w:pPr>
              <w:pStyle w:val="67"/>
              <w:adjustRightInd w:val="0"/>
              <w:snapToGrid w:val="0"/>
              <w:spacing w:line="440" w:lineRule="exact"/>
              <w:ind w:firstLine="0" w:firstLineChars="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（5）本期项目与《江苏省2023年度生态环境分区管控动态更新成果公告》相符性分析</w:t>
            </w:r>
          </w:p>
          <w:p w14:paraId="6B7F445C">
            <w:pPr>
              <w:spacing w:line="440" w:lineRule="exact"/>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本期项目位于苏州市</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江苏省2023年生态环境分区管控动态更新成果报告》，本期项目涉及的重点流域为长江流域和太湖流域，涉及的重点管控单元为华电工业集聚区，本期项目与《江苏省2023年度生态环境分区管控动态更新成果公告》中省域生态环境准入清单相符性分析见表1-</w:t>
            </w:r>
            <w:r>
              <w:rPr>
                <w:rFonts w:hint="eastAsia" w:cs="Times New Roman"/>
                <w:color w:val="000000" w:themeColor="text1"/>
                <w:kern w:val="0"/>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，与长江流域和太湖流域的生态环境准入清单相符性分析见表1-</w:t>
            </w:r>
            <w:r>
              <w:rPr>
                <w:rFonts w:hint="eastAsia" w:cs="Times New Roman"/>
                <w:color w:val="000000" w:themeColor="text1"/>
                <w:kern w:val="0"/>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，与苏州市域生态环境准入清单相符性分析见表1-</w:t>
            </w:r>
            <w:r>
              <w:rPr>
                <w:rFonts w:hint="eastAsia" w:cs="Times New Roman"/>
                <w:color w:val="000000" w:themeColor="text1"/>
                <w:kern w:val="0"/>
                <w:sz w:val="2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p w14:paraId="51551116">
            <w:pPr>
              <w:pStyle w:val="65"/>
              <w:spacing w:line="400" w:lineRule="exact"/>
              <w:ind w:left="0" w:firstLine="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w:t>
            </w:r>
            <w:r>
              <w:rPr>
                <w:rFonts w:hint="eastAsia" w:eastAsia="宋体"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与江苏省省域生态环境管控要求相符性分析</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5736"/>
              <w:gridCol w:w="1156"/>
              <w:gridCol w:w="396"/>
            </w:tblGrid>
            <w:tr w14:paraId="62217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tcBorders>
                    <w:top w:val="single" w:color="auto" w:sz="12" w:space="0"/>
                    <w:bottom w:val="double" w:color="auto" w:sz="4" w:space="0"/>
                  </w:tcBorders>
                  <w:shd w:val="clear" w:color="auto" w:fill="auto"/>
                  <w:vAlign w:val="center"/>
                </w:tcPr>
                <w:p w14:paraId="6517480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管控类别</w:t>
                  </w:r>
                </w:p>
              </w:tc>
              <w:tc>
                <w:tcPr>
                  <w:tcW w:w="3589" w:type="pct"/>
                  <w:tcBorders>
                    <w:top w:val="single" w:color="auto" w:sz="12" w:space="0"/>
                    <w:bottom w:val="double" w:color="auto" w:sz="4" w:space="0"/>
                  </w:tcBorders>
                  <w:shd w:val="clear" w:color="auto" w:fill="auto"/>
                  <w:vAlign w:val="center"/>
                </w:tcPr>
                <w:p w14:paraId="56653BF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重点管控要求</w:t>
                  </w:r>
                </w:p>
              </w:tc>
              <w:tc>
                <w:tcPr>
                  <w:tcW w:w="731" w:type="pct"/>
                  <w:tcBorders>
                    <w:top w:val="single" w:color="auto" w:sz="12" w:space="0"/>
                    <w:bottom w:val="double" w:color="auto" w:sz="4" w:space="0"/>
                  </w:tcBorders>
                  <w:shd w:val="clear" w:color="auto" w:fill="auto"/>
                  <w:vAlign w:val="center"/>
                </w:tcPr>
                <w:p w14:paraId="578531D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218" w:type="pct"/>
                  <w:tcBorders>
                    <w:top w:val="single" w:color="auto" w:sz="12" w:space="0"/>
                    <w:bottom w:val="double" w:color="auto" w:sz="4" w:space="0"/>
                  </w:tcBorders>
                  <w:shd w:val="clear" w:color="auto" w:fill="auto"/>
                  <w:vAlign w:val="center"/>
                </w:tcPr>
                <w:p w14:paraId="5F681C7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35B761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tcBorders>
                    <w:top w:val="double" w:color="auto" w:sz="4" w:space="0"/>
                  </w:tcBorders>
                  <w:shd w:val="clear" w:color="auto" w:fill="auto"/>
                  <w:vAlign w:val="center"/>
                </w:tcPr>
                <w:p w14:paraId="4980F05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空间布局约束</w:t>
                  </w:r>
                </w:p>
              </w:tc>
              <w:tc>
                <w:tcPr>
                  <w:tcW w:w="3589" w:type="pct"/>
                  <w:tcBorders>
                    <w:top w:val="double" w:color="auto" w:sz="4" w:space="0"/>
                  </w:tcBorders>
                  <w:shd w:val="clear" w:color="auto" w:fill="auto"/>
                  <w:vAlign w:val="center"/>
                </w:tcPr>
                <w:p w14:paraId="4E24ADC4">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按照《省政府关于印发江苏省生态空间管控区域规划的通知》（苏政发〔2020〕1号）、《省政府关于印发江苏省国家级生态保护红线规划的通知》（苏政发〔2018〕74号）、《江苏省国土空间规划（2021—2035年）》（国函〔2023〕69号），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切实维护生态安全。生态保护红线不低于1.82万平方千米，其中海洋生态保护红线不低于0.95万平方千米。</w:t>
                  </w:r>
                </w:p>
              </w:tc>
              <w:tc>
                <w:tcPr>
                  <w:tcW w:w="731" w:type="pct"/>
                  <w:tcBorders>
                    <w:top w:val="double" w:color="auto" w:sz="4" w:space="0"/>
                  </w:tcBorders>
                  <w:shd w:val="clear" w:color="auto" w:fill="auto"/>
                  <w:vAlign w:val="center"/>
                </w:tcPr>
                <w:p w14:paraId="02E21DA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本期项目的建设不在生态保护红线及生态空间管控区域范围内</w:t>
                  </w:r>
                </w:p>
              </w:tc>
              <w:tc>
                <w:tcPr>
                  <w:tcW w:w="218" w:type="pct"/>
                  <w:tcBorders>
                    <w:top w:val="double" w:color="auto" w:sz="4" w:space="0"/>
                  </w:tcBorders>
                  <w:shd w:val="clear" w:color="auto" w:fill="auto"/>
                  <w:vAlign w:val="center"/>
                </w:tcPr>
                <w:p w14:paraId="66E301E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B2D2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4BBFEA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67854040">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牢牢把握推动长江经济带发展“共抓大保护，不搞大开发”战略导向，对省域范围内需要重点保护的岸线、河段和区域实行严格管控，管住控好排放量大、耗能高、产能过剩的产业，推动长江经济带高质量发展。</w:t>
                  </w:r>
                </w:p>
              </w:tc>
              <w:tc>
                <w:tcPr>
                  <w:tcW w:w="731" w:type="pct"/>
                  <w:shd w:val="clear" w:color="auto" w:fill="auto"/>
                  <w:vAlign w:val="center"/>
                </w:tcPr>
                <w:p w14:paraId="35E72C5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218" w:type="pct"/>
                  <w:shd w:val="clear" w:color="auto" w:fill="auto"/>
                  <w:vAlign w:val="center"/>
                </w:tcPr>
                <w:p w14:paraId="54DB818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74C47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406FFA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66037869">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大幅压减沿长江干支流两侧1公里范围内、环境敏感区域、城镇人口密集区、化工园区外和规模以下化工生产企业，着力破解“重化围江”突出问题，高起点同步推进沿江地区战略性转型和沿海地区战略性布局。</w:t>
                  </w:r>
                </w:p>
              </w:tc>
              <w:tc>
                <w:tcPr>
                  <w:tcW w:w="731" w:type="pct"/>
                  <w:shd w:val="clear" w:color="auto" w:fill="auto"/>
                  <w:vAlign w:val="center"/>
                </w:tcPr>
                <w:p w14:paraId="5495953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218" w:type="pct"/>
                  <w:shd w:val="clear" w:color="auto" w:fill="auto"/>
                  <w:vAlign w:val="center"/>
                </w:tcPr>
                <w:p w14:paraId="62DCC6B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4CF8E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9D1690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2C6BF662">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tc>
              <w:tc>
                <w:tcPr>
                  <w:tcW w:w="731" w:type="pct"/>
                  <w:shd w:val="clear" w:color="auto" w:fill="auto"/>
                  <w:vAlign w:val="center"/>
                </w:tcPr>
                <w:p w14:paraId="451DB68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218" w:type="pct"/>
                  <w:shd w:val="clear" w:color="auto" w:fill="auto"/>
                  <w:vAlign w:val="center"/>
                </w:tcPr>
                <w:p w14:paraId="0C77AB9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C3037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66C3FB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183FA2B6">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对列入国家和省规划，涉及生态保护红线和相关法定保护区的重大民生项目、重大基础设施项目（交通基础设施项目等），应优化空间布局（选线）、主动避让；确实无法避让的，应采取无害化方式（如无害化穿、跨越方式等），依法依规履行行政审批手续，强化减缓生态环境影响和生态补偿措施。</w:t>
                  </w:r>
                </w:p>
              </w:tc>
              <w:tc>
                <w:tcPr>
                  <w:tcW w:w="731" w:type="pct"/>
                  <w:shd w:val="clear" w:color="auto" w:fill="auto"/>
                  <w:vAlign w:val="center"/>
                </w:tcPr>
                <w:p w14:paraId="739BF13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218" w:type="pct"/>
                  <w:shd w:val="clear" w:color="auto" w:fill="auto"/>
                  <w:vAlign w:val="center"/>
                </w:tcPr>
                <w:p w14:paraId="6B9DA87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4B59B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40A61C7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污染物排放管控</w:t>
                  </w:r>
                </w:p>
              </w:tc>
              <w:tc>
                <w:tcPr>
                  <w:tcW w:w="3589" w:type="pct"/>
                  <w:shd w:val="clear" w:color="auto" w:fill="auto"/>
                  <w:vAlign w:val="center"/>
                </w:tcPr>
                <w:p w14:paraId="178E6384">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坚持生态环境质量只能更好、不能变坏，实施污染物总量控制，以环境容量定产业、定项目、定规模，确保开发建设行为不突破生态环境承载力。</w:t>
                  </w:r>
                </w:p>
              </w:tc>
              <w:tc>
                <w:tcPr>
                  <w:tcW w:w="731" w:type="pct"/>
                  <w:shd w:val="clear" w:color="auto" w:fill="auto"/>
                  <w:vAlign w:val="center"/>
                </w:tcPr>
                <w:p w14:paraId="2D3A2B9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本期项目的建设不会突破生态环境承载力</w:t>
                  </w:r>
                </w:p>
              </w:tc>
              <w:tc>
                <w:tcPr>
                  <w:tcW w:w="218" w:type="pct"/>
                  <w:shd w:val="clear" w:color="auto" w:fill="auto"/>
                  <w:vAlign w:val="center"/>
                </w:tcPr>
                <w:p w14:paraId="4F762B9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916AE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FAB2BA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67BA3004">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2025年，主要污染物排放减排完成国家下达任务，单位工业增加值二氧化碳排放量下降20%，主要高耗能行业单位产品二氧化碳排放达到世界先进水平。实施氮氧化物（NOx）和VOCs协同减排，推进多污染物和关联区域连防联控</w:t>
                  </w:r>
                </w:p>
              </w:tc>
              <w:tc>
                <w:tcPr>
                  <w:tcW w:w="731" w:type="pct"/>
                  <w:shd w:val="clear" w:color="auto" w:fill="auto"/>
                  <w:vAlign w:val="center"/>
                </w:tcPr>
                <w:p w14:paraId="0DB9185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7E3985B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97984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4031337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环境风险防控</w:t>
                  </w:r>
                </w:p>
              </w:tc>
              <w:tc>
                <w:tcPr>
                  <w:tcW w:w="3589" w:type="pct"/>
                  <w:shd w:val="clear" w:color="auto" w:fill="auto"/>
                  <w:vAlign w:val="center"/>
                </w:tcPr>
                <w:p w14:paraId="06C49DBC">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强化饮用水水源环境风险管控。县级以上城市全部建成应急水源或双源供水</w:t>
                  </w:r>
                </w:p>
              </w:tc>
              <w:tc>
                <w:tcPr>
                  <w:tcW w:w="731" w:type="pct"/>
                  <w:shd w:val="clear" w:color="auto" w:fill="auto"/>
                  <w:vAlign w:val="center"/>
                </w:tcPr>
                <w:p w14:paraId="6A3A078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5CD84DE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51D614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E5753F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2EC894C5">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tc>
              <w:tc>
                <w:tcPr>
                  <w:tcW w:w="731" w:type="pct"/>
                  <w:shd w:val="clear" w:color="auto" w:fill="auto"/>
                  <w:vAlign w:val="center"/>
                </w:tcPr>
                <w:p w14:paraId="5ECFB1F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0C127F6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02C156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A0DC16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0D0C9929">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强化环境事故应急管理。深化跨部门、跨区域环境应急协调联动，分区域建立环境应急物资储备库。各级工业园区（集聚区）和企业的环境应急装备和储备物资应纳入储备体系</w:t>
                  </w:r>
                </w:p>
              </w:tc>
              <w:tc>
                <w:tcPr>
                  <w:tcW w:w="731" w:type="pct"/>
                  <w:shd w:val="clear" w:color="auto" w:fill="auto"/>
                  <w:vAlign w:val="center"/>
                </w:tcPr>
                <w:p w14:paraId="0678284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7F25707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6106A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969D43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37DAB2B1">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731" w:type="pct"/>
                  <w:shd w:val="clear" w:color="auto" w:fill="auto"/>
                  <w:vAlign w:val="center"/>
                </w:tcPr>
                <w:p w14:paraId="20781FA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05C0376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0142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7AA4CDD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资源利用效率要求</w:t>
                  </w:r>
                </w:p>
              </w:tc>
              <w:tc>
                <w:tcPr>
                  <w:tcW w:w="3589" w:type="pct"/>
                  <w:shd w:val="clear" w:color="auto" w:fill="auto"/>
                  <w:vAlign w:val="center"/>
                </w:tcPr>
                <w:p w14:paraId="65A0EB02">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水资源利用总量及效率要求：到2025年，全省用水总量控制在525.9亿立方米以内，万元地区生产总值用水量、万元工业增加值用水量下降完成国家下达目标，农田灌溉水有效利用系数提高到0.625</w:t>
                  </w:r>
                </w:p>
              </w:tc>
              <w:tc>
                <w:tcPr>
                  <w:tcW w:w="731" w:type="pct"/>
                  <w:shd w:val="clear" w:color="auto" w:fill="auto"/>
                  <w:vAlign w:val="center"/>
                </w:tcPr>
                <w:p w14:paraId="235D69C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5F739BC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2A32A2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861DA2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271FFC7C">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土地资源总量要求：到2025年，江苏省耕地保有量不低于5977万亩，其中永久基本农田保护面积不低于5344万亩</w:t>
                  </w:r>
                </w:p>
              </w:tc>
              <w:tc>
                <w:tcPr>
                  <w:tcW w:w="731" w:type="pct"/>
                  <w:shd w:val="clear" w:color="auto" w:fill="auto"/>
                  <w:vAlign w:val="center"/>
                </w:tcPr>
                <w:p w14:paraId="6488EF1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218" w:type="pct"/>
                  <w:shd w:val="clear" w:color="auto" w:fill="auto"/>
                  <w:vAlign w:val="center"/>
                </w:tcPr>
                <w:p w14:paraId="70F9B9B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73DE0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C10FF5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589" w:type="pct"/>
                  <w:shd w:val="clear" w:color="auto" w:fill="auto"/>
                  <w:vAlign w:val="center"/>
                </w:tcPr>
                <w:p w14:paraId="6A3B850F">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禁燃区要求：在禁燃区内，禁止销售、燃用高污染燃料；禁止新建、扩建燃用高污染燃料的设施，已建成的，应当在城市人民政府规定的期限内改用天然气、页岩气、液化石油气、电或者其他清洁能源</w:t>
                  </w:r>
                </w:p>
              </w:tc>
              <w:tc>
                <w:tcPr>
                  <w:tcW w:w="731" w:type="pct"/>
                  <w:shd w:val="clear" w:color="auto" w:fill="auto"/>
                  <w:vAlign w:val="center"/>
                </w:tcPr>
                <w:p w14:paraId="3D5D658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218" w:type="pct"/>
                  <w:shd w:val="clear" w:color="auto" w:fill="auto"/>
                  <w:vAlign w:val="center"/>
                </w:tcPr>
                <w:p w14:paraId="0CBA2AB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5630C420">
            <w:pPr>
              <w:pStyle w:val="65"/>
              <w:spacing w:line="400" w:lineRule="exact"/>
              <w:ind w:left="0" w:firstLine="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表1-</w:t>
            </w:r>
            <w:r>
              <w:rPr>
                <w:rFonts w:hint="eastAsia"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与江苏省重点区域（流域）生态环境分区管控要求相符性分析</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4988"/>
              <w:gridCol w:w="1777"/>
              <w:gridCol w:w="508"/>
            </w:tblGrid>
            <w:tr w14:paraId="165360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tcBorders>
                    <w:top w:val="single" w:color="auto" w:sz="12" w:space="0"/>
                    <w:bottom w:val="double" w:color="auto" w:sz="4" w:space="0"/>
                  </w:tcBorders>
                  <w:shd w:val="clear" w:color="auto" w:fill="auto"/>
                  <w:vAlign w:val="center"/>
                </w:tcPr>
                <w:p w14:paraId="48025CF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管控类别</w:t>
                  </w:r>
                </w:p>
              </w:tc>
              <w:tc>
                <w:tcPr>
                  <w:tcW w:w="3113" w:type="pct"/>
                  <w:tcBorders>
                    <w:top w:val="single" w:color="auto" w:sz="12" w:space="0"/>
                    <w:bottom w:val="double" w:color="auto" w:sz="4" w:space="0"/>
                  </w:tcBorders>
                  <w:shd w:val="clear" w:color="auto" w:fill="auto"/>
                  <w:vAlign w:val="center"/>
                </w:tcPr>
                <w:p w14:paraId="5616B7B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重点管控要求——长江流域</w:t>
                  </w:r>
                </w:p>
              </w:tc>
              <w:tc>
                <w:tcPr>
                  <w:tcW w:w="1109" w:type="pct"/>
                  <w:tcBorders>
                    <w:top w:val="single" w:color="auto" w:sz="12" w:space="0"/>
                    <w:bottom w:val="double" w:color="auto" w:sz="4" w:space="0"/>
                  </w:tcBorders>
                  <w:shd w:val="clear" w:color="auto" w:fill="auto"/>
                  <w:vAlign w:val="center"/>
                </w:tcPr>
                <w:p w14:paraId="1A16EF5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317" w:type="pct"/>
                  <w:tcBorders>
                    <w:top w:val="single" w:color="auto" w:sz="12" w:space="0"/>
                    <w:bottom w:val="double" w:color="auto" w:sz="4" w:space="0"/>
                  </w:tcBorders>
                  <w:shd w:val="clear" w:color="auto" w:fill="auto"/>
                  <w:vAlign w:val="center"/>
                </w:tcPr>
                <w:p w14:paraId="1127DF7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3FCD55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tcBorders>
                    <w:top w:val="double" w:color="auto" w:sz="4" w:space="0"/>
                  </w:tcBorders>
                  <w:shd w:val="clear" w:color="auto" w:fill="auto"/>
                  <w:vAlign w:val="center"/>
                </w:tcPr>
                <w:p w14:paraId="1EF28EB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空间布局约束</w:t>
                  </w:r>
                </w:p>
              </w:tc>
              <w:tc>
                <w:tcPr>
                  <w:tcW w:w="3113" w:type="pct"/>
                  <w:tcBorders>
                    <w:top w:val="double" w:color="auto" w:sz="4" w:space="0"/>
                  </w:tcBorders>
                  <w:shd w:val="clear" w:color="auto" w:fill="auto"/>
                  <w:vAlign w:val="center"/>
                </w:tcPr>
                <w:p w14:paraId="0850F41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始终把长江生态修复放在首位，坚持共抓大保护、不搞大开发，引导长江流域产业转型升级和布局优化调整，实现科学发展、有序发展、高质量发展。</w:t>
                  </w:r>
                </w:p>
              </w:tc>
              <w:tc>
                <w:tcPr>
                  <w:tcW w:w="1109" w:type="pct"/>
                  <w:tcBorders>
                    <w:top w:val="double" w:color="auto" w:sz="4" w:space="0"/>
                  </w:tcBorders>
                  <w:shd w:val="clear" w:color="auto" w:fill="auto"/>
                  <w:vAlign w:val="center"/>
                </w:tcPr>
                <w:p w14:paraId="060F351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tcBorders>
                    <w:top w:val="double" w:color="auto" w:sz="4" w:space="0"/>
                  </w:tcBorders>
                  <w:shd w:val="clear" w:color="auto" w:fill="auto"/>
                  <w:vAlign w:val="center"/>
                </w:tcPr>
                <w:p w14:paraId="2DA1D8A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57D5E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B713D6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431710C2">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109" w:type="pct"/>
                  <w:shd w:val="clear" w:color="auto" w:fill="auto"/>
                  <w:vAlign w:val="center"/>
                </w:tcPr>
                <w:p w14:paraId="4F79E83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699B45D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9B385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DCD683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0B237B1D">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禁止在沿江地区新建或扩建化学工业园区，禁止新建或扩建以大宗进口油气资源为原料的石油加工、石油化工、基础有机无机化工、煤化工项目；禁止在长江干流和主要支流岸线1公里范围内新建危化品码头。</w:t>
                  </w:r>
                </w:p>
              </w:tc>
              <w:tc>
                <w:tcPr>
                  <w:tcW w:w="1109" w:type="pct"/>
                  <w:shd w:val="clear" w:color="auto" w:fill="auto"/>
                  <w:vAlign w:val="center"/>
                </w:tcPr>
                <w:p w14:paraId="448AF68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0F7DE5D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04BD7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03A4515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6BBC4512">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港口布局优化，禁止建设不符合国家港口布局规划和《江苏省沿江沿海港口布局规划（2015-2030年）》《江苏省内河港口布局规划（2017-2035年）》的码头项目，禁止建设未纳入《长江干线过江通道布局规划》的过江干线通道项目。</w:t>
                  </w:r>
                </w:p>
              </w:tc>
              <w:tc>
                <w:tcPr>
                  <w:tcW w:w="1109" w:type="pct"/>
                  <w:shd w:val="clear" w:color="auto" w:fill="auto"/>
                  <w:vAlign w:val="center"/>
                </w:tcPr>
                <w:p w14:paraId="6CAFFB4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305EDE5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E1B4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2AA2E9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6C29DD0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禁止新建独立焦化项目。</w:t>
                  </w:r>
                </w:p>
              </w:tc>
              <w:tc>
                <w:tcPr>
                  <w:tcW w:w="1109" w:type="pct"/>
                  <w:shd w:val="clear" w:color="auto" w:fill="auto"/>
                  <w:vAlign w:val="center"/>
                </w:tcPr>
                <w:p w14:paraId="239ED91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6E7B0DA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BE0B5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42C835D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污染物排放管控</w:t>
                  </w:r>
                </w:p>
              </w:tc>
              <w:tc>
                <w:tcPr>
                  <w:tcW w:w="3113" w:type="pct"/>
                  <w:shd w:val="clear" w:color="auto" w:fill="auto"/>
                  <w:vAlign w:val="center"/>
                </w:tcPr>
                <w:p w14:paraId="07FF8831">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根据《江苏省长江水污染防治条例》实施污染物总量控制制度。</w:t>
                  </w:r>
                </w:p>
              </w:tc>
              <w:tc>
                <w:tcPr>
                  <w:tcW w:w="1109" w:type="pct"/>
                  <w:shd w:val="clear" w:color="auto" w:fill="auto"/>
                  <w:vAlign w:val="center"/>
                </w:tcPr>
                <w:p w14:paraId="611E9B3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不新增</w:t>
                  </w:r>
                  <w:r>
                    <w:rPr>
                      <w:rFonts w:hint="default" w:ascii="Times New Roman" w:hAnsi="Times New Roman" w:eastAsia="宋体" w:cs="Times New Roman"/>
                      <w:color w:val="000000" w:themeColor="text1"/>
                      <w:sz w:val="18"/>
                      <w:szCs w:val="18"/>
                      <w:highlight w:val="none"/>
                      <w14:textFill>
                        <w14:solidFill>
                          <w14:schemeClr w14:val="tx1"/>
                        </w14:solidFill>
                      </w14:textFill>
                    </w:rPr>
                    <w:t>工业废水</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和生活污水</w:t>
                  </w:r>
                  <w:r>
                    <w:rPr>
                      <w:rFonts w:hint="default" w:ascii="Times New Roman" w:hAnsi="Times New Roman" w:eastAsia="宋体" w:cs="Times New Roman"/>
                      <w:color w:val="000000" w:themeColor="text1"/>
                      <w:sz w:val="18"/>
                      <w:szCs w:val="18"/>
                      <w:highlight w:val="none"/>
                      <w14:textFill>
                        <w14:solidFill>
                          <w14:schemeClr w14:val="tx1"/>
                        </w14:solidFill>
                      </w14:textFill>
                    </w:rPr>
                    <w:t>排放</w:t>
                  </w:r>
                </w:p>
              </w:tc>
              <w:tc>
                <w:tcPr>
                  <w:tcW w:w="317" w:type="pct"/>
                  <w:shd w:val="clear" w:color="auto" w:fill="auto"/>
                  <w:vAlign w:val="center"/>
                </w:tcPr>
                <w:p w14:paraId="206362D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AE80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750E8A3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3A4B261A">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全面加强和规范长江入河排污口管理，有效管控入河污染物排放，形成权责清晰、监控到位、管理规范的长江入河排污口监管体系，加快改善长江水环境质量。</w:t>
                  </w:r>
                </w:p>
              </w:tc>
              <w:tc>
                <w:tcPr>
                  <w:tcW w:w="1109" w:type="pct"/>
                  <w:shd w:val="clear" w:color="auto" w:fill="auto"/>
                  <w:vAlign w:val="center"/>
                </w:tcPr>
                <w:p w14:paraId="173F01D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不新增</w:t>
                  </w:r>
                  <w:r>
                    <w:rPr>
                      <w:rFonts w:hint="default" w:ascii="Times New Roman" w:hAnsi="Times New Roman" w:eastAsia="宋体" w:cs="Times New Roman"/>
                      <w:color w:val="000000" w:themeColor="text1"/>
                      <w:sz w:val="18"/>
                      <w:szCs w:val="18"/>
                      <w:highlight w:val="none"/>
                      <w14:textFill>
                        <w14:solidFill>
                          <w14:schemeClr w14:val="tx1"/>
                        </w14:solidFill>
                      </w14:textFill>
                    </w:rPr>
                    <w:t>工业废水排放，</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全厂外排</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废水经厂内废水处理系统处理后接管平望镇污水处理厂集中处理</w:t>
                  </w:r>
                  <w:r>
                    <w:rPr>
                      <w:rFonts w:hint="default" w:ascii="Times New Roman" w:hAnsi="Times New Roman" w:eastAsia="宋体" w:cs="Times New Roman"/>
                      <w:color w:val="000000" w:themeColor="text1"/>
                      <w:sz w:val="18"/>
                      <w:szCs w:val="18"/>
                      <w:highlight w:val="none"/>
                      <w14:textFill>
                        <w14:solidFill>
                          <w14:schemeClr w14:val="tx1"/>
                        </w14:solidFill>
                      </w14:textFill>
                    </w:rPr>
                    <w:t>，不新增排污口</w:t>
                  </w:r>
                </w:p>
              </w:tc>
              <w:tc>
                <w:tcPr>
                  <w:tcW w:w="317" w:type="pct"/>
                  <w:shd w:val="clear" w:color="auto" w:fill="auto"/>
                  <w:vAlign w:val="center"/>
                </w:tcPr>
                <w:p w14:paraId="6FF8872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8778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354E9AF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环境风险防控</w:t>
                  </w:r>
                </w:p>
              </w:tc>
              <w:tc>
                <w:tcPr>
                  <w:tcW w:w="3113" w:type="pct"/>
                  <w:shd w:val="clear" w:color="auto" w:fill="auto"/>
                  <w:vAlign w:val="center"/>
                </w:tcPr>
                <w:p w14:paraId="1B441351">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防范沿江环境风险。深化沿江石化、化工、医药、纺织、印染、化纤、危化品和石油类仓储、涉重金属和危险废物处置等重点企业环境风险防控。</w:t>
                  </w:r>
                </w:p>
              </w:tc>
              <w:tc>
                <w:tcPr>
                  <w:tcW w:w="1109" w:type="pct"/>
                  <w:shd w:val="clear" w:color="auto" w:fill="auto"/>
                  <w:vAlign w:val="center"/>
                </w:tcPr>
                <w:p w14:paraId="797A7A9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27C7305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91CFE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53DF5E8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5BC73E1B">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加强饮用水水源保护。优化水源保护区划定，推动饮用水水源地规范化建设。</w:t>
                  </w:r>
                </w:p>
              </w:tc>
              <w:tc>
                <w:tcPr>
                  <w:tcW w:w="1109" w:type="pct"/>
                  <w:shd w:val="clear" w:color="auto" w:fill="auto"/>
                  <w:vAlign w:val="center"/>
                </w:tcPr>
                <w:p w14:paraId="3AF73CF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不涉及污染饮用水源地的途径</w:t>
                  </w:r>
                </w:p>
              </w:tc>
              <w:tc>
                <w:tcPr>
                  <w:tcW w:w="317" w:type="pct"/>
                  <w:shd w:val="clear" w:color="auto" w:fill="auto"/>
                  <w:vAlign w:val="center"/>
                </w:tcPr>
                <w:p w14:paraId="0D725C7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41D1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461" w:type="pct"/>
                  <w:shd w:val="clear" w:color="auto" w:fill="auto"/>
                  <w:vAlign w:val="center"/>
                </w:tcPr>
                <w:p w14:paraId="4070187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资源利用效率要求</w:t>
                  </w:r>
                </w:p>
              </w:tc>
              <w:tc>
                <w:tcPr>
                  <w:tcW w:w="3113" w:type="pct"/>
                  <w:shd w:val="clear" w:color="auto" w:fill="auto"/>
                  <w:vAlign w:val="center"/>
                </w:tcPr>
                <w:p w14:paraId="5119D0E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禁止在长江干支流岸线管控范围内新建、扩建化工园区和化工项目。禁止在长江干流岸线和重要支流岸线管控范围内新建、改建、扩建尾矿库，但是以提升安全、生态环境保护水平为目的的改建除外。</w:t>
                  </w:r>
                </w:p>
              </w:tc>
              <w:tc>
                <w:tcPr>
                  <w:tcW w:w="1109" w:type="pct"/>
                  <w:shd w:val="clear" w:color="auto" w:fill="auto"/>
                  <w:vAlign w:val="center"/>
                </w:tcPr>
                <w:p w14:paraId="5FD5F31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422D928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E33B1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tcBorders>
                    <w:top w:val="single" w:color="auto" w:sz="12" w:space="0"/>
                    <w:bottom w:val="double" w:color="auto" w:sz="4" w:space="0"/>
                  </w:tcBorders>
                  <w:shd w:val="clear" w:color="auto" w:fill="auto"/>
                  <w:vAlign w:val="center"/>
                </w:tcPr>
                <w:p w14:paraId="4CB0042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管控类别</w:t>
                  </w:r>
                </w:p>
              </w:tc>
              <w:tc>
                <w:tcPr>
                  <w:tcW w:w="3113" w:type="pct"/>
                  <w:tcBorders>
                    <w:top w:val="single" w:color="auto" w:sz="12" w:space="0"/>
                    <w:bottom w:val="double" w:color="auto" w:sz="4" w:space="0"/>
                  </w:tcBorders>
                  <w:shd w:val="clear" w:color="auto" w:fill="auto"/>
                  <w:vAlign w:val="center"/>
                </w:tcPr>
                <w:p w14:paraId="143C2BF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重点管控要求——太湖流域</w:t>
                  </w:r>
                </w:p>
              </w:tc>
              <w:tc>
                <w:tcPr>
                  <w:tcW w:w="1109" w:type="pct"/>
                  <w:tcBorders>
                    <w:top w:val="single" w:color="auto" w:sz="12" w:space="0"/>
                    <w:bottom w:val="double" w:color="auto" w:sz="4" w:space="0"/>
                  </w:tcBorders>
                  <w:shd w:val="clear" w:color="auto" w:fill="auto"/>
                  <w:vAlign w:val="center"/>
                </w:tcPr>
                <w:p w14:paraId="3D80479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317" w:type="pct"/>
                  <w:tcBorders>
                    <w:top w:val="single" w:color="auto" w:sz="12" w:space="0"/>
                    <w:bottom w:val="double" w:color="auto" w:sz="4" w:space="0"/>
                  </w:tcBorders>
                  <w:shd w:val="clear" w:color="auto" w:fill="auto"/>
                  <w:vAlign w:val="center"/>
                </w:tcPr>
                <w:p w14:paraId="1F11803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7610D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tcBorders>
                    <w:top w:val="double" w:color="auto" w:sz="4" w:space="0"/>
                  </w:tcBorders>
                  <w:shd w:val="clear" w:color="auto" w:fill="auto"/>
                  <w:vAlign w:val="center"/>
                </w:tcPr>
                <w:p w14:paraId="5643CB2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空间布局约束</w:t>
                  </w:r>
                </w:p>
              </w:tc>
              <w:tc>
                <w:tcPr>
                  <w:tcW w:w="3113" w:type="pct"/>
                  <w:tcBorders>
                    <w:top w:val="double" w:color="auto" w:sz="4" w:space="0"/>
                  </w:tcBorders>
                  <w:shd w:val="clear" w:color="auto" w:fill="auto"/>
                  <w:vAlign w:val="center"/>
                </w:tcPr>
                <w:p w14:paraId="2B6AAFE5">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tc>
              <w:tc>
                <w:tcPr>
                  <w:tcW w:w="1109" w:type="pct"/>
                  <w:tcBorders>
                    <w:top w:val="double" w:color="auto" w:sz="4" w:space="0"/>
                  </w:tcBorders>
                  <w:shd w:val="clear" w:color="auto" w:fill="auto"/>
                  <w:vAlign w:val="center"/>
                </w:tcPr>
                <w:p w14:paraId="0EA947D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不属于禁止类的企业</w:t>
                  </w:r>
                </w:p>
              </w:tc>
              <w:tc>
                <w:tcPr>
                  <w:tcW w:w="317" w:type="pct"/>
                  <w:tcBorders>
                    <w:top w:val="double" w:color="auto" w:sz="4" w:space="0"/>
                  </w:tcBorders>
                  <w:shd w:val="clear" w:color="auto" w:fill="auto"/>
                  <w:vAlign w:val="center"/>
                </w:tcPr>
                <w:p w14:paraId="4748603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010F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0CC66B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69281806">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在太湖流域一级保护区，禁止新建、扩建向水体排放污染物的建设项目，禁止新建、扩建畜禽养殖场，禁止新建、扩建高尔夫球场、水上游乐等开发项目以及设置水上餐饮经营设施。</w:t>
                  </w:r>
                </w:p>
              </w:tc>
              <w:tc>
                <w:tcPr>
                  <w:tcW w:w="1109" w:type="pct"/>
                  <w:shd w:val="clear" w:color="auto" w:fill="auto"/>
                  <w:vAlign w:val="center"/>
                </w:tcPr>
                <w:p w14:paraId="77D1CB4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55382B6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5DA86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B45CCD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2DFB1D70">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在太湖流域二级保护区，禁止新建、扩建化工、医药生产项目，禁止新建、扩建污水集中处理设施排污口以外的排污口。</w:t>
                  </w:r>
                </w:p>
              </w:tc>
              <w:tc>
                <w:tcPr>
                  <w:tcW w:w="1109" w:type="pct"/>
                  <w:shd w:val="clear" w:color="auto" w:fill="auto"/>
                  <w:vAlign w:val="center"/>
                </w:tcPr>
                <w:p w14:paraId="6BAB9F2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693F33F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0D0F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shd w:val="clear" w:color="auto" w:fill="auto"/>
                  <w:vAlign w:val="center"/>
                </w:tcPr>
                <w:p w14:paraId="2E83ACB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污染物排放管控</w:t>
                  </w:r>
                </w:p>
              </w:tc>
              <w:tc>
                <w:tcPr>
                  <w:tcW w:w="3113" w:type="pct"/>
                  <w:shd w:val="clear" w:color="auto" w:fill="auto"/>
                  <w:vAlign w:val="center"/>
                </w:tcPr>
                <w:p w14:paraId="23D69FE7">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城镇污水处理厂、纺织工业、化学工业、造纸工业、钢铁工业、电镀工业和食品工业的污水处理设施执行《太湖地区城镇污水处理厂及重点工业行业主要水污染物排放限值》。</w:t>
                  </w:r>
                </w:p>
              </w:tc>
              <w:tc>
                <w:tcPr>
                  <w:tcW w:w="1109" w:type="pct"/>
                  <w:shd w:val="clear" w:color="auto" w:fill="auto"/>
                  <w:vAlign w:val="center"/>
                </w:tcPr>
                <w:p w14:paraId="191FE8C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6CE7A4A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64E2A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0F3EDD0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环境风险防控</w:t>
                  </w:r>
                </w:p>
              </w:tc>
              <w:tc>
                <w:tcPr>
                  <w:tcW w:w="3113" w:type="pct"/>
                  <w:shd w:val="clear" w:color="auto" w:fill="auto"/>
                  <w:vAlign w:val="center"/>
                </w:tcPr>
                <w:p w14:paraId="50FAB79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运输剧毒物质、危险化学品的船舶不得进入太湖。</w:t>
                  </w:r>
                </w:p>
              </w:tc>
              <w:tc>
                <w:tcPr>
                  <w:tcW w:w="1109" w:type="pct"/>
                  <w:shd w:val="clear" w:color="auto" w:fill="auto"/>
                  <w:vAlign w:val="center"/>
                </w:tcPr>
                <w:p w14:paraId="5CC760D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618584F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417DB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549A42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592B3B8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禁止向太湖流域水体排放或者倾倒油类、酸液、碱液、剧毒废渣废液、含放射性废渣废液、含病原体污水、工业废渣以及其他废弃物。</w:t>
                  </w:r>
                </w:p>
              </w:tc>
              <w:tc>
                <w:tcPr>
                  <w:tcW w:w="1109" w:type="pct"/>
                  <w:shd w:val="clear" w:color="auto" w:fill="auto"/>
                  <w:vAlign w:val="center"/>
                </w:tcPr>
                <w:p w14:paraId="5E8F4A4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34A338D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4A71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3CD6F3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266F61D1">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加强太湖流域生态环境风险应急管控，着力提高防控太湖蓝藻水华风险预警和应急处置能力。</w:t>
                  </w:r>
                </w:p>
              </w:tc>
              <w:tc>
                <w:tcPr>
                  <w:tcW w:w="1109" w:type="pct"/>
                  <w:shd w:val="clear" w:color="auto" w:fill="auto"/>
                  <w:vAlign w:val="center"/>
                </w:tcPr>
                <w:p w14:paraId="5F1AD4E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6376337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546132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3E4CFE5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资源利用效率要求</w:t>
                  </w:r>
                </w:p>
              </w:tc>
              <w:tc>
                <w:tcPr>
                  <w:tcW w:w="3113" w:type="pct"/>
                  <w:shd w:val="clear" w:color="auto" w:fill="auto"/>
                  <w:vAlign w:val="center"/>
                </w:tcPr>
                <w:p w14:paraId="4970134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严格用水定额管理制度，推进取用水规范化管理，科学制定用水定额并动态调整，对超过用水定额标准的企业分类分步先期实施节水改造，鼓励重点用水企业、园区建立智慧用水管理系统。</w:t>
                  </w:r>
                </w:p>
              </w:tc>
              <w:tc>
                <w:tcPr>
                  <w:tcW w:w="1109" w:type="pct"/>
                  <w:shd w:val="clear" w:color="auto" w:fill="auto"/>
                  <w:vAlign w:val="center"/>
                </w:tcPr>
                <w:p w14:paraId="79045CC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6663372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DA87C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80E0C9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13" w:type="pct"/>
                  <w:shd w:val="clear" w:color="auto" w:fill="auto"/>
                  <w:vAlign w:val="center"/>
                </w:tcPr>
                <w:p w14:paraId="5561ABC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推进新孟河、新沟河、望虞河、走马塘等河道联合调度，科学调控太湖水位。</w:t>
                  </w:r>
                </w:p>
              </w:tc>
              <w:tc>
                <w:tcPr>
                  <w:tcW w:w="1109" w:type="pct"/>
                  <w:shd w:val="clear" w:color="auto" w:fill="auto"/>
                  <w:vAlign w:val="center"/>
                </w:tcPr>
                <w:p w14:paraId="0174996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470226D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5D97C656">
            <w:pPr>
              <w:pStyle w:val="65"/>
              <w:spacing w:line="400" w:lineRule="exact"/>
              <w:ind w:left="0" w:firstLine="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表1-</w:t>
            </w:r>
            <w:r>
              <w:rPr>
                <w:rFonts w:hint="eastAsia" w:eastAsia="宋体" w:cs="Times New Roman"/>
                <w:color w:val="000000" w:themeColor="text1"/>
                <w:sz w:val="2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与苏州市市域生态环境管控要求相符性分析</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4730"/>
              <w:gridCol w:w="1959"/>
              <w:gridCol w:w="508"/>
            </w:tblGrid>
            <w:tr w14:paraId="7CEB8E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tcBorders>
                    <w:top w:val="single" w:color="auto" w:sz="12" w:space="0"/>
                    <w:bottom w:val="double" w:color="auto" w:sz="4" w:space="0"/>
                  </w:tcBorders>
                  <w:shd w:val="clear" w:color="auto" w:fill="auto"/>
                  <w:vAlign w:val="center"/>
                </w:tcPr>
                <w:p w14:paraId="0FBDFFC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管控类别</w:t>
                  </w:r>
                </w:p>
              </w:tc>
              <w:tc>
                <w:tcPr>
                  <w:tcW w:w="2952" w:type="pct"/>
                  <w:tcBorders>
                    <w:top w:val="single" w:color="auto" w:sz="12" w:space="0"/>
                    <w:bottom w:val="double" w:color="auto" w:sz="4" w:space="0"/>
                  </w:tcBorders>
                  <w:shd w:val="clear" w:color="auto" w:fill="auto"/>
                  <w:vAlign w:val="center"/>
                </w:tcPr>
                <w:p w14:paraId="54A2797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苏州市市域生态环境管控要求</w:t>
                  </w:r>
                </w:p>
              </w:tc>
              <w:tc>
                <w:tcPr>
                  <w:tcW w:w="1223" w:type="pct"/>
                  <w:tcBorders>
                    <w:top w:val="single" w:color="auto" w:sz="12" w:space="0"/>
                    <w:bottom w:val="double" w:color="auto" w:sz="4" w:space="0"/>
                  </w:tcBorders>
                  <w:shd w:val="clear" w:color="auto" w:fill="auto"/>
                  <w:vAlign w:val="center"/>
                </w:tcPr>
                <w:p w14:paraId="4CD35ED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317" w:type="pct"/>
                  <w:tcBorders>
                    <w:top w:val="single" w:color="auto" w:sz="12" w:space="0"/>
                    <w:bottom w:val="double" w:color="auto" w:sz="4" w:space="0"/>
                  </w:tcBorders>
                  <w:shd w:val="clear" w:color="auto" w:fill="auto"/>
                  <w:vAlign w:val="center"/>
                </w:tcPr>
                <w:p w14:paraId="02BD28E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2646EB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restart"/>
                  <w:tcBorders>
                    <w:top w:val="double" w:color="auto" w:sz="4" w:space="0"/>
                  </w:tcBorders>
                  <w:shd w:val="clear" w:color="auto" w:fill="auto"/>
                  <w:vAlign w:val="center"/>
                </w:tcPr>
                <w:p w14:paraId="74CFC17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空间布局约束</w:t>
                  </w:r>
                </w:p>
              </w:tc>
              <w:tc>
                <w:tcPr>
                  <w:tcW w:w="2952" w:type="pct"/>
                  <w:tcBorders>
                    <w:top w:val="double" w:color="auto" w:sz="4" w:space="0"/>
                  </w:tcBorders>
                  <w:shd w:val="clear" w:color="auto" w:fill="auto"/>
                  <w:vAlign w:val="center"/>
                </w:tcPr>
                <w:p w14:paraId="2D354F12">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按照《省政府关于印发江苏省生态空间管控区域规划的通知》（苏政发〔2020〕1号）、《省政府关于印发江苏省国家级生态保护红线规划的通知》（苏政发〔2018〕74号），坚持节约优先、保护优先、自然恢复为主的方针，以改善生态环境质量为核心，以保障和维护生态功能为主线，统筹山水林田湖草一体化保护和修复，严守生态保护红线，实行最严格的生态空间管控制度，确保全市生态功能不降低、面积不减少、性质不改变，切实维护生态安全。</w:t>
                  </w:r>
                </w:p>
              </w:tc>
              <w:tc>
                <w:tcPr>
                  <w:tcW w:w="1223" w:type="pct"/>
                  <w:tcBorders>
                    <w:top w:val="double" w:color="auto" w:sz="4" w:space="0"/>
                  </w:tcBorders>
                  <w:shd w:val="clear" w:color="auto" w:fill="auto"/>
                  <w:vAlign w:val="center"/>
                </w:tcPr>
                <w:p w14:paraId="44A7B30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本期项目不在江苏省生态空间管控区域和江苏省国家级生态保护红线范围内</w:t>
                  </w:r>
                </w:p>
              </w:tc>
              <w:tc>
                <w:tcPr>
                  <w:tcW w:w="317" w:type="pct"/>
                  <w:tcBorders>
                    <w:top w:val="double" w:color="auto" w:sz="4" w:space="0"/>
                  </w:tcBorders>
                  <w:shd w:val="clear" w:color="auto" w:fill="auto"/>
                  <w:vAlign w:val="center"/>
                </w:tcPr>
                <w:p w14:paraId="2432AE4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35F5F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138A5EBD">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58F2995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严格执行《关于深入打好污染防治攻坚战的工作方案》（苏委发〔2022〕33号）等文件要求。全市太湖、阳澄湖保护区执行《江苏省太湖水污染防治条例》、《苏州市阳澄湖水源水质保护条例》等文件要求。</w:t>
                  </w:r>
                </w:p>
              </w:tc>
              <w:tc>
                <w:tcPr>
                  <w:tcW w:w="1223" w:type="pct"/>
                  <w:shd w:val="clear" w:color="auto" w:fill="auto"/>
                  <w:vAlign w:val="center"/>
                </w:tcPr>
                <w:p w14:paraId="011A4F8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按相关要求执行</w:t>
                  </w:r>
                </w:p>
              </w:tc>
              <w:tc>
                <w:tcPr>
                  <w:tcW w:w="317" w:type="pct"/>
                  <w:shd w:val="clear" w:color="auto" w:fill="auto"/>
                  <w:vAlign w:val="center"/>
                </w:tcPr>
                <w:p w14:paraId="6A5272D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7C302E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31E4EF53">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3688BD82">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严格执行《〈长江经济带发展负面清单指南（试行，2022年版）&gt;江苏省实施细则》（苏长江办发〔2022〕55号）中相关要求。</w:t>
                  </w:r>
                </w:p>
              </w:tc>
              <w:tc>
                <w:tcPr>
                  <w:tcW w:w="1223" w:type="pct"/>
                  <w:shd w:val="clear" w:color="auto" w:fill="auto"/>
                  <w:vAlign w:val="center"/>
                </w:tcPr>
                <w:p w14:paraId="084A401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本期项目严格执行《〈长江经济带发展负面清单指南（试行，2022年版）&gt;江苏省实施细则》（苏长江办发〔2022〕55号）中相关要求</w:t>
                  </w:r>
                </w:p>
              </w:tc>
              <w:tc>
                <w:tcPr>
                  <w:tcW w:w="317" w:type="pct"/>
                  <w:shd w:val="clear" w:color="auto" w:fill="auto"/>
                  <w:vAlign w:val="center"/>
                </w:tcPr>
                <w:p w14:paraId="3C99B6A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752F98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61AAED71">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04F47238">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禁止引进列入《苏州市产业发展导向目录》禁止类、淘汰类的产业。</w:t>
                  </w:r>
                </w:p>
              </w:tc>
              <w:tc>
                <w:tcPr>
                  <w:tcW w:w="1223" w:type="pct"/>
                  <w:shd w:val="clear" w:color="auto" w:fill="auto"/>
                  <w:vAlign w:val="center"/>
                </w:tcPr>
                <w:p w14:paraId="27A6F4C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3AA8717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84949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restart"/>
                  <w:shd w:val="clear" w:color="auto" w:fill="auto"/>
                  <w:vAlign w:val="center"/>
                </w:tcPr>
                <w:p w14:paraId="3C7618E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污染物排放管控</w:t>
                  </w:r>
                </w:p>
              </w:tc>
              <w:tc>
                <w:tcPr>
                  <w:tcW w:w="2952" w:type="pct"/>
                  <w:shd w:val="clear" w:color="auto" w:fill="auto"/>
                  <w:vAlign w:val="center"/>
                </w:tcPr>
                <w:p w14:paraId="526ADFF3">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坚持生态环境质量只能更好、不能变坏，实施污染物总量控制，以环境容量定产业、定项目、定规模，确保开发建设行为不突破生态环境承载力。</w:t>
                  </w:r>
                </w:p>
              </w:tc>
              <w:tc>
                <w:tcPr>
                  <w:tcW w:w="1223" w:type="pct"/>
                  <w:shd w:val="clear" w:color="auto" w:fill="auto"/>
                  <w:vAlign w:val="center"/>
                </w:tcPr>
                <w:p w14:paraId="0FCC267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不新增</w:t>
                  </w:r>
                  <w:r>
                    <w:rPr>
                      <w:rFonts w:hint="default" w:ascii="Times New Roman" w:hAnsi="Times New Roman" w:eastAsia="宋体" w:cs="Times New Roman"/>
                      <w:color w:val="000000" w:themeColor="text1"/>
                      <w:sz w:val="18"/>
                      <w:szCs w:val="18"/>
                      <w:highlight w:val="none"/>
                      <w14:textFill>
                        <w14:solidFill>
                          <w14:schemeClr w14:val="tx1"/>
                        </w14:solidFill>
                      </w14:textFill>
                    </w:rPr>
                    <w:t>大气污染物，不会突破生态环境承载力</w:t>
                  </w:r>
                </w:p>
              </w:tc>
              <w:tc>
                <w:tcPr>
                  <w:tcW w:w="317" w:type="pct"/>
                  <w:shd w:val="clear" w:color="auto" w:fill="auto"/>
                  <w:vAlign w:val="center"/>
                </w:tcPr>
                <w:p w14:paraId="29679A1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58AD0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10DE53DB">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658181F0">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2025年苏州市主要污染物排放量达到省定要求。</w:t>
                  </w:r>
                </w:p>
              </w:tc>
              <w:tc>
                <w:tcPr>
                  <w:tcW w:w="1223" w:type="pct"/>
                  <w:shd w:val="clear" w:color="auto" w:fill="auto"/>
                  <w:vAlign w:val="center"/>
                </w:tcPr>
                <w:p w14:paraId="09CA322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7A3FAD3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7EA2F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46816D0A">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4EBFB14C">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严格新建项目总量前置审批，新建项目实行区域内现役源按相关要求等量或减量替代。</w:t>
                  </w:r>
                </w:p>
              </w:tc>
              <w:tc>
                <w:tcPr>
                  <w:tcW w:w="1223" w:type="pct"/>
                  <w:shd w:val="clear" w:color="auto" w:fill="auto"/>
                  <w:vAlign w:val="center"/>
                </w:tcPr>
                <w:p w14:paraId="529DFAA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本期项目污染物在吴江区域内平衡</w:t>
                  </w:r>
                </w:p>
              </w:tc>
              <w:tc>
                <w:tcPr>
                  <w:tcW w:w="317" w:type="pct"/>
                  <w:shd w:val="clear" w:color="auto" w:fill="auto"/>
                  <w:vAlign w:val="center"/>
                </w:tcPr>
                <w:p w14:paraId="36893F1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8A97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restart"/>
                  <w:shd w:val="clear" w:color="auto" w:fill="auto"/>
                  <w:vAlign w:val="center"/>
                </w:tcPr>
                <w:p w14:paraId="5908F4EB">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环境风险防控</w:t>
                  </w:r>
                </w:p>
              </w:tc>
              <w:tc>
                <w:tcPr>
                  <w:tcW w:w="2952" w:type="pct"/>
                  <w:shd w:val="clear" w:color="auto" w:fill="auto"/>
                  <w:vAlign w:val="center"/>
                </w:tcPr>
                <w:p w14:paraId="0E839CA8">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强化饮用水水源环境风险管控。县级以上城市全部建成应急水源或双源供水。</w:t>
                  </w:r>
                </w:p>
              </w:tc>
              <w:tc>
                <w:tcPr>
                  <w:tcW w:w="1223" w:type="pct"/>
                  <w:shd w:val="clear" w:color="auto" w:fill="auto"/>
                  <w:vAlign w:val="center"/>
                </w:tcPr>
                <w:p w14:paraId="5880147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58A0FB2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2F28B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4EF20075">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006F44BB">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落实《苏州市突发环境事件应急预案》。完善市、县级市（区）两级突发环境事件应急响应体系，定期组织演练，提高应急处置能力。</w:t>
                  </w:r>
                </w:p>
              </w:tc>
              <w:tc>
                <w:tcPr>
                  <w:tcW w:w="1223" w:type="pct"/>
                  <w:shd w:val="clear" w:color="auto" w:fill="auto"/>
                  <w:vAlign w:val="center"/>
                </w:tcPr>
                <w:p w14:paraId="71557E2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17F75AA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0E2E51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restart"/>
                  <w:shd w:val="clear" w:color="auto" w:fill="auto"/>
                  <w:vAlign w:val="center"/>
                </w:tcPr>
                <w:p w14:paraId="07105E1A">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资源利用效率要求</w:t>
                  </w:r>
                </w:p>
              </w:tc>
              <w:tc>
                <w:tcPr>
                  <w:tcW w:w="2952" w:type="pct"/>
                  <w:shd w:val="clear" w:color="auto" w:fill="auto"/>
                  <w:vAlign w:val="center"/>
                </w:tcPr>
                <w:p w14:paraId="48DF4501">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2025年苏州市用水总量不得超过103亿立方米。</w:t>
                  </w:r>
                </w:p>
              </w:tc>
              <w:tc>
                <w:tcPr>
                  <w:tcW w:w="1223" w:type="pct"/>
                  <w:shd w:val="clear" w:color="auto" w:fill="auto"/>
                  <w:vAlign w:val="center"/>
                </w:tcPr>
                <w:p w14:paraId="78891F3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6BF4832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57F16D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0888BD24">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456BA9E0">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2025年，苏州市耕地保有量完成国家下达任务。</w:t>
                  </w:r>
                </w:p>
              </w:tc>
              <w:tc>
                <w:tcPr>
                  <w:tcW w:w="1223" w:type="pct"/>
                  <w:shd w:val="clear" w:color="auto" w:fill="auto"/>
                  <w:vAlign w:val="center"/>
                </w:tcPr>
                <w:p w14:paraId="018B1E4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17" w:type="pct"/>
                  <w:shd w:val="clear" w:color="auto" w:fill="auto"/>
                  <w:vAlign w:val="center"/>
                </w:tcPr>
                <w:p w14:paraId="0D8CDCB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6E3C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8" w:type="pct"/>
                  <w:vMerge w:val="continue"/>
                  <w:shd w:val="clear" w:color="auto" w:fill="auto"/>
                  <w:vAlign w:val="center"/>
                </w:tcPr>
                <w:p w14:paraId="2C4552AF">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952" w:type="pct"/>
                  <w:shd w:val="clear" w:color="auto" w:fill="auto"/>
                  <w:vAlign w:val="center"/>
                </w:tcPr>
                <w:p w14:paraId="5FEFF24E">
                  <w:pPr>
                    <w:pStyle w:val="22"/>
                    <w:adjustRightInd w:val="0"/>
                    <w:snapToGrid w:val="0"/>
                    <w:spacing w:after="0" w:line="240" w:lineRule="auto"/>
                    <w:ind w:left="0" w:leftChars="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禁燃区禁止新建、扩建燃用高污染燃料的项目和设施，已建成的应逐步或依法限期改用天然气、电或者其他清洁能源。</w:t>
                  </w:r>
                </w:p>
              </w:tc>
              <w:tc>
                <w:tcPr>
                  <w:tcW w:w="1223" w:type="pct"/>
                  <w:shd w:val="clear" w:color="auto" w:fill="auto"/>
                  <w:vAlign w:val="center"/>
                </w:tcPr>
                <w:p w14:paraId="260DC23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17" w:type="pct"/>
                  <w:shd w:val="clear" w:color="auto" w:fill="auto"/>
                  <w:vAlign w:val="center"/>
                </w:tcPr>
                <w:p w14:paraId="1A8D994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40C6413D">
            <w:pPr>
              <w:pStyle w:val="65"/>
              <w:spacing w:line="400" w:lineRule="exact"/>
              <w:ind w:left="0" w:firstLine="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（6）与苏州市重点管控单元管控要求相符性</w:t>
            </w:r>
          </w:p>
          <w:p w14:paraId="0B7BBC7A">
            <w:pPr>
              <w:autoSpaceDE w:val="0"/>
              <w:autoSpaceDN w:val="0"/>
              <w:adjustRightInd w:val="0"/>
              <w:snapToGrid w:val="0"/>
              <w:jc w:val="cente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表1-</w:t>
            </w:r>
            <w:r>
              <w:rPr>
                <w:rFonts w:hint="eastAsia" w:cs="Times New Roman"/>
                <w:bCs/>
                <w:color w:val="000000" w:themeColor="text1"/>
                <w:kern w:val="0"/>
                <w:sz w:val="21"/>
                <w:szCs w:val="21"/>
                <w:highlight w:val="none"/>
                <w:lang w:val="en-US" w:eastAsia="zh-CN"/>
                <w14:textFill>
                  <w14:solidFill>
                    <w14:schemeClr w14:val="tx1"/>
                  </w14:solidFill>
                </w14:textFill>
              </w:rPr>
              <w:t>7</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 xml:space="preserve">   与</w:t>
            </w:r>
            <w:r>
              <w:rPr>
                <w:rFonts w:hint="default" w:ascii="Times New Roman" w:hAnsi="Times New Roman" w:eastAsia="宋体" w:cs="Times New Roman"/>
                <w:color w:val="000000" w:themeColor="text1"/>
                <w:sz w:val="21"/>
                <w:szCs w:val="21"/>
                <w:highlight w:val="none"/>
                <w14:textFill>
                  <w14:solidFill>
                    <w14:schemeClr w14:val="tx1"/>
                  </w14:solidFill>
                </w14:textFill>
              </w:rPr>
              <w:t>苏州市重点管控单元管控要求相符性分析</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5077"/>
              <w:gridCol w:w="1418"/>
              <w:gridCol w:w="776"/>
            </w:tblGrid>
            <w:tr w14:paraId="1F1A1E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tcBorders>
                    <w:top w:val="single" w:color="auto" w:sz="12" w:space="0"/>
                    <w:bottom w:val="double" w:color="auto" w:sz="4" w:space="0"/>
                  </w:tcBorders>
                  <w:shd w:val="clear" w:color="auto" w:fill="auto"/>
                  <w:vAlign w:val="center"/>
                </w:tcPr>
                <w:p w14:paraId="21F67CF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管控类别</w:t>
                  </w:r>
                </w:p>
              </w:tc>
              <w:tc>
                <w:tcPr>
                  <w:tcW w:w="3169" w:type="pct"/>
                  <w:tcBorders>
                    <w:top w:val="single" w:color="auto" w:sz="12" w:space="0"/>
                    <w:bottom w:val="double" w:color="auto" w:sz="4" w:space="0"/>
                  </w:tcBorders>
                  <w:shd w:val="clear" w:color="auto" w:fill="auto"/>
                  <w:vAlign w:val="center"/>
                </w:tcPr>
                <w:p w14:paraId="7C54F9C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管控要求</w:t>
                  </w:r>
                </w:p>
              </w:tc>
              <w:tc>
                <w:tcPr>
                  <w:tcW w:w="885" w:type="pct"/>
                  <w:tcBorders>
                    <w:top w:val="single" w:color="auto" w:sz="12" w:space="0"/>
                    <w:bottom w:val="double" w:color="auto" w:sz="4" w:space="0"/>
                  </w:tcBorders>
                  <w:shd w:val="clear" w:color="auto" w:fill="auto"/>
                  <w:vAlign w:val="center"/>
                </w:tcPr>
                <w:p w14:paraId="786EEE5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484" w:type="pct"/>
                  <w:tcBorders>
                    <w:top w:val="single" w:color="auto" w:sz="12" w:space="0"/>
                    <w:bottom w:val="double" w:color="auto" w:sz="4" w:space="0"/>
                  </w:tcBorders>
                  <w:shd w:val="clear" w:color="auto" w:fill="auto"/>
                  <w:vAlign w:val="center"/>
                </w:tcPr>
                <w:p w14:paraId="7E1A428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16DDAA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restart"/>
                  <w:tcBorders>
                    <w:top w:val="double" w:color="auto" w:sz="4" w:space="0"/>
                  </w:tcBorders>
                  <w:shd w:val="clear" w:color="auto" w:fill="auto"/>
                  <w:vAlign w:val="center"/>
                </w:tcPr>
                <w:p w14:paraId="5511E27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空间布局约束</w:t>
                  </w:r>
                </w:p>
              </w:tc>
              <w:tc>
                <w:tcPr>
                  <w:tcW w:w="3169" w:type="pct"/>
                  <w:tcBorders>
                    <w:top w:val="double" w:color="auto" w:sz="4" w:space="0"/>
                  </w:tcBorders>
                  <w:shd w:val="clear" w:color="auto" w:fill="auto"/>
                  <w:vAlign w:val="center"/>
                </w:tcPr>
                <w:p w14:paraId="2A0D3A6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积极发展引领性绿色低碳经济、功能型总部经济、特色型服务经济、融合型数字经济、前沿型创新经济、生态型湖区经济，大力培育符合生态绿色导向的专精特新企业和战略性新兴产业，布局绿能环保、科技研发、总部办公、文旅会展和信息数创等重大产业项目。</w:t>
                  </w:r>
                </w:p>
              </w:tc>
              <w:tc>
                <w:tcPr>
                  <w:tcW w:w="885" w:type="pct"/>
                  <w:tcBorders>
                    <w:top w:val="double" w:color="auto" w:sz="4" w:space="0"/>
                  </w:tcBorders>
                  <w:shd w:val="clear" w:color="auto" w:fill="auto"/>
                  <w:vAlign w:val="center"/>
                </w:tcPr>
                <w:p w14:paraId="68A1CD0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tcBorders>
                    <w:top w:val="double" w:color="auto" w:sz="4" w:space="0"/>
                  </w:tcBorders>
                  <w:shd w:val="clear" w:color="auto" w:fill="auto"/>
                  <w:vAlign w:val="center"/>
                </w:tcPr>
                <w:p w14:paraId="281DB92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7DC4B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07D38D0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6BEC7A5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积极引入绿色低碳领域技术咨询机构，支持绿色研发设计、节能环保认证、低碳规划咨询、环境检测管理等生产性服务业发展，共建区域绿色低碳技术咨询服务行业高地。</w:t>
                  </w:r>
                </w:p>
              </w:tc>
              <w:tc>
                <w:tcPr>
                  <w:tcW w:w="885" w:type="pct"/>
                  <w:shd w:val="clear" w:color="auto" w:fill="auto"/>
                  <w:vAlign w:val="center"/>
                </w:tcPr>
                <w:p w14:paraId="0A698A7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3387E56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2ADBA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29E022F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221B432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先行启动区着力构建“十字走廊引领、空间复合渗透、人文创新融合、立体网络支撑”的功能布局，重点协调景观游憩、调节小气候、栖息地营造等多重生态功能，营造绿色、创新、人文融合发展空间。</w:t>
                  </w:r>
                </w:p>
              </w:tc>
              <w:tc>
                <w:tcPr>
                  <w:tcW w:w="885" w:type="pct"/>
                  <w:shd w:val="clear" w:color="auto" w:fill="auto"/>
                  <w:vAlign w:val="center"/>
                </w:tcPr>
                <w:p w14:paraId="00F78AD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1C48A92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6D49F4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7D494CC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70D9D99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先行启动区依托“一厅三片”等功能区块，因地制宜布局科创研发基地、数字经济产业园、特色金融集聚区、文化创意综合体、滨湖休闲活力带和水乡颐养地等特色产业板块，共同打造世界级绿色创新活力湖区。</w:t>
                  </w:r>
                </w:p>
              </w:tc>
              <w:tc>
                <w:tcPr>
                  <w:tcW w:w="885" w:type="pct"/>
                  <w:shd w:val="clear" w:color="auto" w:fill="auto"/>
                  <w:vAlign w:val="center"/>
                </w:tcPr>
                <w:p w14:paraId="3909634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0AF4FFA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6F43C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7523767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67C37CB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吴江区突出发展电子信息、光电通讯、智能装备、高端纺织四大“强”制造集群；加快发展人工智能、生命健康、新材料、绿色环保四大“新”制造集群；聚焦培育现代商贸服务、高端商务服务、数字赋能服务、科技创新服务、文创旅游服务五大“特”色服务经济。</w:t>
                  </w:r>
                </w:p>
              </w:tc>
              <w:tc>
                <w:tcPr>
                  <w:tcW w:w="885" w:type="pct"/>
                  <w:shd w:val="clear" w:color="auto" w:fill="auto"/>
                  <w:vAlign w:val="center"/>
                </w:tcPr>
                <w:p w14:paraId="5926A4E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5675EA6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6B2FC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31E25F3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329134C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落实《长三角生态绿色一体化发展示范区产业结构调整指导目录》《长三角一体化示范区先行启动区产业项目准入标准（试行）》，加快产业结构优化调整，引导产业园区优化布局。</w:t>
                  </w:r>
                </w:p>
              </w:tc>
              <w:tc>
                <w:tcPr>
                  <w:tcW w:w="885" w:type="pct"/>
                  <w:shd w:val="clear" w:color="auto" w:fill="auto"/>
                  <w:vAlign w:val="center"/>
                </w:tcPr>
                <w:p w14:paraId="0FEFD4F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本期项目符合项目准入标准</w:t>
                  </w:r>
                </w:p>
              </w:tc>
              <w:tc>
                <w:tcPr>
                  <w:tcW w:w="484" w:type="pct"/>
                  <w:shd w:val="clear" w:color="auto" w:fill="auto"/>
                  <w:vAlign w:val="center"/>
                </w:tcPr>
                <w:p w14:paraId="6D13079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03687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12DE6B8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0A5605E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以高标准生态环境准入推动传统产业转型升级，大力提升传统特色产业能级，降低单位能耗和排污强度，促进减污降碳协同增效。</w:t>
                  </w:r>
                </w:p>
              </w:tc>
              <w:tc>
                <w:tcPr>
                  <w:tcW w:w="885" w:type="pct"/>
                  <w:shd w:val="clear" w:color="auto" w:fill="auto"/>
                  <w:vAlign w:val="center"/>
                </w:tcPr>
                <w:p w14:paraId="1FB41FA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 w:val="18"/>
                      <w:szCs w:val="18"/>
                      <w:highlight w:val="none"/>
                      <w14:textFill>
                        <w14:solidFill>
                          <w14:schemeClr w14:val="tx1"/>
                        </w14:solidFill>
                      </w14:textFill>
                    </w:rPr>
                    <w:t>后采用清洁能源天然气，</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不增加</w:t>
                  </w:r>
                  <w:r>
                    <w:rPr>
                      <w:rFonts w:hint="default" w:ascii="Times New Roman" w:hAnsi="Times New Roman" w:eastAsia="宋体" w:cs="Times New Roman"/>
                      <w:color w:val="000000" w:themeColor="text1"/>
                      <w:sz w:val="18"/>
                      <w:szCs w:val="18"/>
                      <w:highlight w:val="none"/>
                      <w14:textFill>
                        <w14:solidFill>
                          <w14:schemeClr w14:val="tx1"/>
                        </w14:solidFill>
                      </w14:textFill>
                    </w:rPr>
                    <w:t>排污强度</w:t>
                  </w:r>
                </w:p>
              </w:tc>
              <w:tc>
                <w:tcPr>
                  <w:tcW w:w="484" w:type="pct"/>
                  <w:shd w:val="clear" w:color="auto" w:fill="auto"/>
                  <w:vAlign w:val="center"/>
                </w:tcPr>
                <w:p w14:paraId="5BA299D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7613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691D766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7EFEA6B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依法依规推动传统高耗能、高排放行业的产能淘汰、转型升级和域外搬迁，支撑和推动示范区产业减污降碳。</w:t>
                  </w:r>
                </w:p>
              </w:tc>
              <w:tc>
                <w:tcPr>
                  <w:tcW w:w="885" w:type="pct"/>
                  <w:shd w:val="clear" w:color="auto" w:fill="auto"/>
                  <w:vAlign w:val="center"/>
                </w:tcPr>
                <w:p w14:paraId="7055461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 w:val="18"/>
                      <w:szCs w:val="18"/>
                      <w:highlight w:val="none"/>
                      <w14:textFill>
                        <w14:solidFill>
                          <w14:schemeClr w14:val="tx1"/>
                        </w14:solidFill>
                      </w14:textFill>
                    </w:rPr>
                    <w:t>后采用清洁能源天然气，实现减污降碳</w:t>
                  </w:r>
                </w:p>
              </w:tc>
              <w:tc>
                <w:tcPr>
                  <w:tcW w:w="484" w:type="pct"/>
                  <w:shd w:val="clear" w:color="auto" w:fill="auto"/>
                  <w:vAlign w:val="center"/>
                </w:tcPr>
                <w:p w14:paraId="4072C73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AC1BB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0A362D9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2461D47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城镇生活类重点管控单元发展高端生产性服务业和高附加值都市型工业，重点深化生活、交通领域污染减排。</w:t>
                  </w:r>
                </w:p>
              </w:tc>
              <w:tc>
                <w:tcPr>
                  <w:tcW w:w="885" w:type="pct"/>
                  <w:shd w:val="clear" w:color="auto" w:fill="auto"/>
                  <w:vAlign w:val="center"/>
                </w:tcPr>
                <w:p w14:paraId="19AA89F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561AEA5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DEDA7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42D93BC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7233C4D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一般管控单元以促进生活、生态、生产功能的融合为导向，重点加强农业、生活等领域污染治理，加强永久基本农田保护，严格限制非农项目占用耕地，促进城乡空间的弹性有机生长。</w:t>
                  </w:r>
                </w:p>
              </w:tc>
              <w:tc>
                <w:tcPr>
                  <w:tcW w:w="885" w:type="pct"/>
                  <w:shd w:val="clear" w:color="auto" w:fill="auto"/>
                  <w:vAlign w:val="center"/>
                </w:tcPr>
                <w:p w14:paraId="0FDD0BB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414B2AB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35064B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1778872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51AD5AF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优先保护单元生态保护红线应确保功能不降低、面积不减少、性质不改变，一般生态空间以生态保护为重点，原则上不得开展有损主导生态功能的开发建设活动。</w:t>
                  </w:r>
                </w:p>
              </w:tc>
              <w:tc>
                <w:tcPr>
                  <w:tcW w:w="885" w:type="pct"/>
                  <w:shd w:val="clear" w:color="auto" w:fill="auto"/>
                  <w:vAlign w:val="center"/>
                </w:tcPr>
                <w:p w14:paraId="60F9263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7B4F8C2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90F2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654FED1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70F18F1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严格执行相关法律法规，禁止开展和建设损害生态保护红线主导生态功能、法律法规禁止的活动和项目。结构性生态空间内禁止对主导生态功能产生影响的开发建设活动。</w:t>
                  </w:r>
                </w:p>
              </w:tc>
              <w:tc>
                <w:tcPr>
                  <w:tcW w:w="885" w:type="pct"/>
                  <w:shd w:val="clear" w:color="auto" w:fill="auto"/>
                  <w:vAlign w:val="center"/>
                </w:tcPr>
                <w:p w14:paraId="46A8BA7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64DDC8C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897F2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513EA5A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612047D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长江流域重点水域自2021年1月1日起实行为期10年的常年禁捕，国家、省级水生生物保护区实行常年禁捕，禁捕期内全面禁止生产性捕捞和垂钓。禁止在水产种质资源保护区的岸线和河段范围内新建围湖造田等投资建设项目。淀山湖生物多样性维护区、大莲湖生物多样性维护区、嘉善县生物多样性维护区内，禁止违法猎捕野生动物、破坏野生动物栖息地和生存环境，禁止开展破坏其生态功能的活动。</w:t>
                  </w:r>
                </w:p>
              </w:tc>
              <w:tc>
                <w:tcPr>
                  <w:tcW w:w="885" w:type="pct"/>
                  <w:shd w:val="clear" w:color="auto" w:fill="auto"/>
                  <w:vAlign w:val="center"/>
                </w:tcPr>
                <w:p w14:paraId="367DB6D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2274A51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F277F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5DF885A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29FD550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自然保护区核心区、缓冲区的岸线和河段范围内投资建设旅游和生产经营项目。禁止在风景名胜区核心景区的岸线和河段范围内投资建设与风景名胜资源保护无关的项目。禁止在太湖（吴江区）重要湿地、吴江同里国家湿地公园（试点）、吴江震泽省级湿地公园的岸线和河段范围内挖沙、采矿，以及不符合主体功能定位的投资建设项目。林地、河流等生态空间严格执行相关法律法规或管理办法，禁止建设或开展法律法规规定不能建设或开展的项目或活动。</w:t>
                  </w:r>
                </w:p>
              </w:tc>
              <w:tc>
                <w:tcPr>
                  <w:tcW w:w="885" w:type="pct"/>
                  <w:shd w:val="clear" w:color="auto" w:fill="auto"/>
                  <w:vAlign w:val="center"/>
                </w:tcPr>
                <w:p w14:paraId="46C3B43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7C32AC4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8DA27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09E0BD6D">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2F1AA26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饮用水水源一级保护区新建、改建、扩建与供水设施和保护水源无关的项目，以及网箱养殖、畜禽养殖、旅游等可能污染饮用水水体的投资建设活动。禁止在饮用水水源二级保护区范围内新建、改建、扩建排放污染物的建设项目。禁止在饮用水水源准保护区内新建、扩建污染水体的建设项目；改建项目不得增加排污量。对确实无法避让、涉及生态保护红线和相关法定保护区的线性交通设施、水利设施项目以及保障城市安全的工程项目，应采取无害化穿（跨）越方式，并依法依规取得相关主管部门的同意。</w:t>
                  </w:r>
                </w:p>
              </w:tc>
              <w:tc>
                <w:tcPr>
                  <w:tcW w:w="885" w:type="pct"/>
                  <w:shd w:val="clear" w:color="auto" w:fill="auto"/>
                  <w:vAlign w:val="center"/>
                </w:tcPr>
                <w:p w14:paraId="48C7F5C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56ED892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A5318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3CAF0CC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755076B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违法利用、占用长江流域河湖岸线。禁止在《全国重要江河湖泊水功能区划》划定的河段及湖泊保护区、保留区内投资建设不利于水资源及自然生态保护的项目。禁止未经法定许可占用水域和建设影响河道自然形态和水生态（环境）功能的项目。</w:t>
                  </w:r>
                </w:p>
              </w:tc>
              <w:tc>
                <w:tcPr>
                  <w:tcW w:w="885" w:type="pct"/>
                  <w:shd w:val="clear" w:color="auto" w:fill="auto"/>
                  <w:vAlign w:val="center"/>
                </w:tcPr>
                <w:p w14:paraId="55FC580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5ED1370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1B260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55D636C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17055F6E">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未经同意在长江流域江河、湖泊新设、改设或扩大排污口。禁止在长江干支流、重要湖泊岸线一公里范围内新建、扩建化工园区和化工项目，现有化工企业依法逐步淘汰搬迁。禁止在长江干流岸线三公里范围内和重要支流岸线1公里范围内新建、改建、扩建尾矿库、冶炼渣库和磷石膏库，以提升安全、生态环境保护水平为目的的改建除外。</w:t>
                  </w:r>
                </w:p>
              </w:tc>
              <w:tc>
                <w:tcPr>
                  <w:tcW w:w="885" w:type="pct"/>
                  <w:shd w:val="clear" w:color="auto" w:fill="auto"/>
                  <w:vAlign w:val="center"/>
                </w:tcPr>
                <w:p w14:paraId="6285554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12C289B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505F9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2DC565A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662EFAB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除战略新兴产业项目外，太湖流域原则上不再审批其他生产性新增氮磷污染物的工业类建设项目。太湖沿岸5公里范围内，禁止新建、扩建向水体排放污染物的建设项目，禁止新建、扩建畜禽养殖场，禁止新建、扩建高尔夫球场和设置水上餐饮经营设施。</w:t>
                  </w:r>
                </w:p>
              </w:tc>
              <w:tc>
                <w:tcPr>
                  <w:tcW w:w="885" w:type="pct"/>
                  <w:shd w:val="clear" w:color="auto" w:fill="auto"/>
                  <w:vAlign w:val="center"/>
                </w:tcPr>
                <w:p w14:paraId="600089E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50A3FAC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8B051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47C51A0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434FE12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禁止建设不符合全国和省级港口布局规划以及港口总体规划的码头项目。禁止新建、扩建不符合国家石化、现代煤化工等产业布局规划的项目。</w:t>
                  </w:r>
                </w:p>
              </w:tc>
              <w:tc>
                <w:tcPr>
                  <w:tcW w:w="885" w:type="pct"/>
                  <w:shd w:val="clear" w:color="auto" w:fill="auto"/>
                  <w:vAlign w:val="center"/>
                </w:tcPr>
                <w:p w14:paraId="18005734">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0FDB2F9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68482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10B8051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52F2AF1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禁止新增化工园区。禁止在合规园区外新建、扩建钢铁、石化、化工、焦化、建材、有色、制浆造纸等高污染项目。高污染项目清单参照生态环境部《环境保护综合名录》执行。</w:t>
                  </w:r>
                </w:p>
              </w:tc>
              <w:tc>
                <w:tcPr>
                  <w:tcW w:w="885" w:type="pct"/>
                  <w:shd w:val="clear" w:color="auto" w:fill="auto"/>
                  <w:vAlign w:val="center"/>
                </w:tcPr>
                <w:p w14:paraId="43AC8327">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66E1F35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A14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034AEC9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0C46FBB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严格禁止煤炭、重汕、渣汕、石油焦等高污染燃料的使用（除电站锅炉、钢铁冶炼窑炉以外）。禁止建设企业自备燃煤设施。禁止新建、扩建燃用高污染燃料的设施（除热电行业以外）。</w:t>
                  </w:r>
                </w:p>
              </w:tc>
              <w:tc>
                <w:tcPr>
                  <w:tcW w:w="885" w:type="pct"/>
                  <w:shd w:val="clear" w:color="auto" w:fill="auto"/>
                  <w:vAlign w:val="center"/>
                </w:tcPr>
                <w:p w14:paraId="6E8F2013">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48246E5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459B4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restart"/>
                  <w:shd w:val="clear" w:color="auto" w:fill="auto"/>
                  <w:vAlign w:val="center"/>
                </w:tcPr>
                <w:p w14:paraId="3DE2D4E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污染物排放管控</w:t>
                  </w:r>
                </w:p>
              </w:tc>
              <w:tc>
                <w:tcPr>
                  <w:tcW w:w="3169" w:type="pct"/>
                  <w:shd w:val="clear" w:color="auto" w:fill="auto"/>
                  <w:vAlign w:val="center"/>
                </w:tcPr>
                <w:p w14:paraId="47649A4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在先行启动区内新进产业项目污染物排放执行已发布的国家、沪苏浙行业及特定区域最严格的排放标准。相关要求适时扩大到一体化示范区全域。</w:t>
                  </w:r>
                </w:p>
              </w:tc>
              <w:tc>
                <w:tcPr>
                  <w:tcW w:w="885" w:type="pct"/>
                  <w:shd w:val="clear" w:color="auto" w:fill="auto"/>
                  <w:vAlign w:val="center"/>
                </w:tcPr>
                <w:p w14:paraId="0CBAF26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本期项目污染物排放已执行最严格的标准要求</w:t>
                  </w:r>
                </w:p>
              </w:tc>
              <w:tc>
                <w:tcPr>
                  <w:tcW w:w="484" w:type="pct"/>
                  <w:shd w:val="clear" w:color="auto" w:fill="auto"/>
                  <w:vAlign w:val="center"/>
                </w:tcPr>
                <w:p w14:paraId="6AE2B59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6D218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Merge w:val="continue"/>
                  <w:shd w:val="clear" w:color="auto" w:fill="auto"/>
                  <w:vAlign w:val="center"/>
                </w:tcPr>
                <w:p w14:paraId="10919588">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2937CE3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各产业集聚类重点管控单元根据产业集聚区块的功能定位，实施差异化的产业准入条件，严格实施污染物总量控制和环境风险防范制度，推进集聚区生态化改造，提高资源能源利用效率。</w:t>
                  </w:r>
                </w:p>
              </w:tc>
              <w:tc>
                <w:tcPr>
                  <w:tcW w:w="885" w:type="pct"/>
                  <w:shd w:val="clear" w:color="auto" w:fill="auto"/>
                  <w:vAlign w:val="center"/>
                </w:tcPr>
                <w:p w14:paraId="324FCD5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本期项目污染物排放总量在吴江区内平衡</w:t>
                  </w:r>
                </w:p>
              </w:tc>
              <w:tc>
                <w:tcPr>
                  <w:tcW w:w="484" w:type="pct"/>
                  <w:shd w:val="clear" w:color="auto" w:fill="auto"/>
                  <w:vAlign w:val="center"/>
                </w:tcPr>
                <w:p w14:paraId="458DCBCA">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802D3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shd w:val="clear" w:color="auto" w:fill="auto"/>
                  <w:vAlign w:val="center"/>
                </w:tcPr>
                <w:p w14:paraId="0981A4A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环境风险防控</w:t>
                  </w:r>
                </w:p>
              </w:tc>
              <w:tc>
                <w:tcPr>
                  <w:tcW w:w="3169" w:type="pct"/>
                  <w:shd w:val="clear" w:color="auto" w:fill="auto"/>
                  <w:vAlign w:val="center"/>
                </w:tcPr>
                <w:p w14:paraId="3F191182">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业园区邻近现有及规划集中居住区的，应合理设置产业控制带，细化产业控制带设置范围及产业准入要求。产业控制带内原则上不得新建住宅、学校、医疗机构等敏感目标，不宜引入环境风险潜势为Ⅱ级及以上的项目（依据《建设项目环境风险评价技术导则》）。</w:t>
                  </w:r>
                </w:p>
              </w:tc>
              <w:tc>
                <w:tcPr>
                  <w:tcW w:w="885" w:type="pct"/>
                  <w:shd w:val="clear" w:color="auto" w:fill="auto"/>
                  <w:vAlign w:val="center"/>
                </w:tcPr>
                <w:p w14:paraId="4BECDFC6">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11487DA1">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ACD5B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462" w:type="pct"/>
                  <w:vMerge w:val="restart"/>
                  <w:shd w:val="clear" w:color="auto" w:fill="auto"/>
                  <w:vAlign w:val="center"/>
                </w:tcPr>
                <w:p w14:paraId="39FE2385">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资源开发效率要求</w:t>
                  </w:r>
                </w:p>
              </w:tc>
              <w:tc>
                <w:tcPr>
                  <w:tcW w:w="3169" w:type="pct"/>
                  <w:shd w:val="clear" w:color="auto" w:fill="auto"/>
                  <w:vAlign w:val="center"/>
                </w:tcPr>
                <w:p w14:paraId="2689178B">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苏州市吴江区围绕“创新湖区”“乐居之城”发展定位，以绿色低碳循环为导向，强化高耗能、高排放建设项目生态环境源头防控，推动生态资源利用更加高效、绿色、安全。</w:t>
                  </w:r>
                </w:p>
              </w:tc>
              <w:tc>
                <w:tcPr>
                  <w:tcW w:w="885" w:type="pct"/>
                  <w:shd w:val="clear" w:color="auto" w:fill="auto"/>
                  <w:vAlign w:val="center"/>
                </w:tcPr>
                <w:p w14:paraId="179BD1C0">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pct"/>
                  <w:shd w:val="clear" w:color="auto" w:fill="auto"/>
                  <w:vAlign w:val="center"/>
                </w:tcPr>
                <w:p w14:paraId="2896A30C">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55614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62" w:type="pct"/>
                  <w:vMerge w:val="continue"/>
                  <w:shd w:val="clear" w:color="auto" w:fill="auto"/>
                  <w:vAlign w:val="center"/>
                </w:tcPr>
                <w:p w14:paraId="1ED603A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169" w:type="pct"/>
                  <w:shd w:val="clear" w:color="auto" w:fill="auto"/>
                  <w:vAlign w:val="center"/>
                </w:tcPr>
                <w:p w14:paraId="4CB9AF69">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在地下水禁止开采区内禁止取用地下水，但不包括《地下水管理条例》第三十五条所列三种情形。在地下水限制开采区内禁止新增取用地下水，并逐步削减地下水取水量。</w:t>
                  </w:r>
                </w:p>
              </w:tc>
              <w:tc>
                <w:tcPr>
                  <w:tcW w:w="885" w:type="pct"/>
                  <w:shd w:val="clear" w:color="auto" w:fill="auto"/>
                  <w:vAlign w:val="center"/>
                </w:tcPr>
                <w:p w14:paraId="29D8A03F">
                  <w:pPr>
                    <w:pStyle w:val="22"/>
                    <w:adjustRightInd w:val="0"/>
                    <w:snapToGrid w:val="0"/>
                    <w:spacing w:after="0" w:line="240" w:lineRule="auto"/>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484" w:type="pct"/>
                  <w:shd w:val="clear" w:color="auto" w:fill="auto"/>
                  <w:vAlign w:val="center"/>
                </w:tcPr>
                <w:p w14:paraId="226EA993">
                  <w:pPr>
                    <w:pStyle w:val="22"/>
                    <w:adjustRightInd w:val="0"/>
                    <w:snapToGrid w:val="0"/>
                    <w:spacing w:after="0" w:line="240" w:lineRule="auto"/>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7EEE7D61">
            <w:pPr>
              <w:adjustRightInd w:val="0"/>
              <w:snapToGrid w:val="0"/>
              <w:spacing w:line="440" w:lineRule="exact"/>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w:t>
            </w:r>
            <w:r>
              <w:rPr>
                <w:rFonts w:hint="default" w:ascii="Times New Roman" w:hAnsi="Times New Roman" w:eastAsia="宋体" w:cs="Times New Roman"/>
                <w:color w:val="000000" w:themeColor="text1"/>
                <w:sz w:val="21"/>
                <w:szCs w:val="21"/>
                <w:highlight w:val="none"/>
                <w14:textFill>
                  <w14:solidFill>
                    <w14:schemeClr w14:val="tx1"/>
                  </w14:solidFill>
                </w14:textFill>
              </w:rPr>
              <w:t>与《长三角生态绿色一体化发展示范区生态环境准入清单》相符性分析</w:t>
            </w:r>
          </w:p>
          <w:p w14:paraId="69ADA49D">
            <w:pPr>
              <w:adjustRightInd w:val="0"/>
              <w:snapToGrid w:val="0"/>
              <w:spacing w:line="440" w:lineRule="exact"/>
              <w:jc w:val="cente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表1-</w:t>
            </w:r>
            <w:r>
              <w:rPr>
                <w:rFonts w:hint="eastAsia" w:cs="Times New Roman"/>
                <w:color w:val="000000" w:themeColor="text1"/>
                <w:kern w:val="0"/>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与《长三角生态绿色一体化发展示范区生态环境准入清单》相符性分析</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5351"/>
              <w:gridCol w:w="1287"/>
              <w:gridCol w:w="634"/>
            </w:tblGrid>
            <w:tr w14:paraId="5D0B15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tcBorders>
                    <w:top w:val="single" w:color="auto" w:sz="12" w:space="0"/>
                    <w:bottom w:val="double" w:color="auto" w:sz="4" w:space="0"/>
                  </w:tcBorders>
                  <w:shd w:val="clear" w:color="auto" w:fill="auto"/>
                  <w:vAlign w:val="center"/>
                </w:tcPr>
                <w:p w14:paraId="7C7E449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内容</w:t>
                  </w:r>
                </w:p>
              </w:tc>
              <w:tc>
                <w:tcPr>
                  <w:tcW w:w="3340" w:type="pct"/>
                  <w:tcBorders>
                    <w:top w:val="single" w:color="auto" w:sz="12" w:space="0"/>
                    <w:bottom w:val="double" w:color="auto" w:sz="4" w:space="0"/>
                  </w:tcBorders>
                  <w:shd w:val="clear" w:color="auto" w:fill="auto"/>
                  <w:vAlign w:val="center"/>
                </w:tcPr>
                <w:p w14:paraId="76ED082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文件要求</w:t>
                  </w:r>
                </w:p>
              </w:tc>
              <w:tc>
                <w:tcPr>
                  <w:tcW w:w="803" w:type="pct"/>
                  <w:tcBorders>
                    <w:top w:val="single" w:color="auto" w:sz="12" w:space="0"/>
                    <w:bottom w:val="double" w:color="auto" w:sz="4" w:space="0"/>
                  </w:tcBorders>
                  <w:shd w:val="clear" w:color="auto" w:fill="auto"/>
                  <w:vAlign w:val="center"/>
                </w:tcPr>
                <w:p w14:paraId="7162FA8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本期项目情况</w:t>
                  </w:r>
                </w:p>
              </w:tc>
              <w:tc>
                <w:tcPr>
                  <w:tcW w:w="396" w:type="pct"/>
                  <w:tcBorders>
                    <w:top w:val="single" w:color="auto" w:sz="12" w:space="0"/>
                    <w:bottom w:val="double" w:color="auto" w:sz="4" w:space="0"/>
                  </w:tcBorders>
                  <w:shd w:val="clear" w:color="auto" w:fill="auto"/>
                  <w:vAlign w:val="center"/>
                </w:tcPr>
                <w:p w14:paraId="4C3745D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3F6139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tcBorders>
                    <w:top w:val="double" w:color="auto" w:sz="4" w:space="0"/>
                  </w:tcBorders>
                  <w:shd w:val="clear" w:color="auto" w:fill="auto"/>
                  <w:vAlign w:val="center"/>
                </w:tcPr>
                <w:p w14:paraId="1DF0373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一、鼓励事项</w:t>
                  </w:r>
                </w:p>
              </w:tc>
              <w:tc>
                <w:tcPr>
                  <w:tcW w:w="3340" w:type="pct"/>
                  <w:tcBorders>
                    <w:top w:val="double" w:color="auto" w:sz="4" w:space="0"/>
                  </w:tcBorders>
                  <w:shd w:val="clear" w:color="auto" w:fill="auto"/>
                  <w:vAlign w:val="center"/>
                </w:tcPr>
                <w:p w14:paraId="148ECD7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积极发展引领性绿色低碳经济、功能型总部经济、特色型服务经济、融合型数字经济、前沿型创新经济、生态型湖区经济，大力培育符合生态绿色导向的专精特新企业和战略性新兴产业，布局绿能环保、科技研发、总部办公、文旅会展和信息数创等重大产业项目</w:t>
                  </w:r>
                </w:p>
              </w:tc>
              <w:tc>
                <w:tcPr>
                  <w:tcW w:w="803" w:type="pct"/>
                  <w:tcBorders>
                    <w:top w:val="double" w:color="auto" w:sz="4" w:space="0"/>
                  </w:tcBorders>
                  <w:shd w:val="clear" w:color="auto" w:fill="auto"/>
                  <w:vAlign w:val="center"/>
                </w:tcPr>
                <w:p w14:paraId="71279C4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96" w:type="pct"/>
                  <w:tcBorders>
                    <w:top w:val="double" w:color="auto" w:sz="4" w:space="0"/>
                  </w:tcBorders>
                  <w:shd w:val="clear" w:color="auto" w:fill="auto"/>
                  <w:vAlign w:val="center"/>
                </w:tcPr>
                <w:p w14:paraId="321FC3D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74B671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5A804F8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5AC217F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积极引入绿色低碳领域技术咨询机构，支持绿色研发设计、节能环保认证、低碳规划咨询、环境检测管理等生产性服务业发展，共建区域绿色低碳技术咨询服务行业高地</w:t>
                  </w:r>
                </w:p>
              </w:tc>
              <w:tc>
                <w:tcPr>
                  <w:tcW w:w="803" w:type="pct"/>
                  <w:shd w:val="clear" w:color="auto" w:fill="auto"/>
                  <w:vAlign w:val="center"/>
                </w:tcPr>
                <w:p w14:paraId="5BE1AA8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396" w:type="pct"/>
                  <w:shd w:val="clear" w:color="auto" w:fill="auto"/>
                  <w:vAlign w:val="center"/>
                </w:tcPr>
                <w:p w14:paraId="78D1727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A5E2F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B93D6F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15466EF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在先行启动区内新进产业项目污染物排放执行已发布的国家、沪苏浙行业及特定区域最严格的排放标准。相关要求适时扩大到一体化示范区全域</w:t>
                  </w:r>
                </w:p>
              </w:tc>
              <w:tc>
                <w:tcPr>
                  <w:tcW w:w="803" w:type="pct"/>
                  <w:shd w:val="clear" w:color="auto" w:fill="auto"/>
                  <w:vAlign w:val="center"/>
                </w:tcPr>
                <w:p w14:paraId="500ED03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本期项目污染物执行已发布的国家、</w:t>
                  </w:r>
                  <w:r>
                    <w:rPr>
                      <w:rFonts w:hint="eastAsia" w:cs="Times New Roman"/>
                      <w:color w:val="000000" w:themeColor="text1"/>
                      <w:sz w:val="18"/>
                      <w:szCs w:val="18"/>
                      <w:highlight w:val="none"/>
                      <w:lang w:val="en-US" w:eastAsia="zh-CN"/>
                      <w14:textFill>
                        <w14:solidFill>
                          <w14:schemeClr w14:val="tx1"/>
                        </w14:solidFill>
                      </w14:textFill>
                    </w:rPr>
                    <w:t>江苏省</w:t>
                  </w:r>
                  <w:r>
                    <w:rPr>
                      <w:rFonts w:hint="default" w:ascii="Times New Roman" w:hAnsi="Times New Roman" w:eastAsia="宋体" w:cs="Times New Roman"/>
                      <w:color w:val="000000" w:themeColor="text1"/>
                      <w:sz w:val="18"/>
                      <w:szCs w:val="18"/>
                      <w:highlight w:val="none"/>
                      <w14:textFill>
                        <w14:solidFill>
                          <w14:schemeClr w14:val="tx1"/>
                        </w14:solidFill>
                      </w14:textFill>
                    </w:rPr>
                    <w:t>行业及特定区域最严格的排放标准</w:t>
                  </w:r>
                </w:p>
              </w:tc>
              <w:tc>
                <w:tcPr>
                  <w:tcW w:w="396" w:type="pct"/>
                  <w:shd w:val="clear" w:color="auto" w:fill="auto"/>
                  <w:vAlign w:val="center"/>
                </w:tcPr>
                <w:p w14:paraId="16BD33B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95A45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BD6271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0C3519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苏州市吴江区围绕“创新湖区”“乐居之城”发展定位，以绿色低碳循环为导向，强化高耗能、高排放建设项目生态环境源头防控，推动生态资源利用更加高效、绿色、安全</w:t>
                  </w:r>
                </w:p>
              </w:tc>
              <w:tc>
                <w:tcPr>
                  <w:tcW w:w="803" w:type="pct"/>
                  <w:shd w:val="clear" w:color="auto" w:fill="auto"/>
                  <w:vAlign w:val="center"/>
                </w:tcPr>
                <w:p w14:paraId="7FBECC5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本期项目不属于高耗能、高排放建设项目</w:t>
                  </w:r>
                </w:p>
              </w:tc>
              <w:tc>
                <w:tcPr>
                  <w:tcW w:w="396" w:type="pct"/>
                  <w:shd w:val="clear" w:color="auto" w:fill="auto"/>
                  <w:vAlign w:val="center"/>
                </w:tcPr>
                <w:p w14:paraId="176E428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2C0CF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584DD55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556BD42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吴江区突出发展电子信息、光电通讯、智能装备、高端纺织四大“强”制造集群；加快发展人工智能、生命健康、新材料、绿色环保四大“新”制造集群；聚焦培育现代商贸服务、高端商务服务、数字赋能 服务、科技创新服务、文创旅游服务五大“特”色服务经济</w:t>
                  </w:r>
                </w:p>
              </w:tc>
              <w:tc>
                <w:tcPr>
                  <w:tcW w:w="803" w:type="pct"/>
                  <w:shd w:val="clear" w:color="auto" w:fill="auto"/>
                  <w:vAlign w:val="center"/>
                </w:tcPr>
                <w:p w14:paraId="702785D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本期项目属于热力生产和供应行业</w:t>
                  </w:r>
                </w:p>
              </w:tc>
              <w:tc>
                <w:tcPr>
                  <w:tcW w:w="396" w:type="pct"/>
                  <w:shd w:val="clear" w:color="auto" w:fill="auto"/>
                  <w:vAlign w:val="center"/>
                </w:tcPr>
                <w:p w14:paraId="41FF78A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7C9C4A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1283A3C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二、引导事项</w:t>
                  </w:r>
                </w:p>
              </w:tc>
              <w:tc>
                <w:tcPr>
                  <w:tcW w:w="3340" w:type="pct"/>
                  <w:shd w:val="clear" w:color="auto" w:fill="auto"/>
                  <w:vAlign w:val="center"/>
                </w:tcPr>
                <w:p w14:paraId="5836A41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落实《长三角生态绿色一体化发展示范区产业结构调整指导目录》《长三角一体化示范区先行启动区产业项目准入标准（试行）》，加快产业结构优化调整，引导产业园区优化布局</w:t>
                  </w:r>
                </w:p>
              </w:tc>
              <w:tc>
                <w:tcPr>
                  <w:tcW w:w="803" w:type="pct"/>
                  <w:shd w:val="clear" w:color="auto" w:fill="auto"/>
                  <w:vAlign w:val="center"/>
                </w:tcPr>
                <w:p w14:paraId="2A8EE77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本期项目为热力生产和供应行业，符合园区内产业结构</w:t>
                  </w:r>
                </w:p>
              </w:tc>
              <w:tc>
                <w:tcPr>
                  <w:tcW w:w="396" w:type="pct"/>
                  <w:shd w:val="clear" w:color="auto" w:fill="auto"/>
                  <w:vAlign w:val="center"/>
                </w:tcPr>
                <w:p w14:paraId="1833FC5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658CF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8331B5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4B3C715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以高标准生态环境准入推动传统产业转型升级，大力提升传统特色产业能级，降低单位能耗和排污强度，促进减污降碳协同增效</w:t>
                  </w:r>
                </w:p>
              </w:tc>
              <w:tc>
                <w:tcPr>
                  <w:tcW w:w="803" w:type="pct"/>
                  <w:shd w:val="clear" w:color="auto" w:fill="auto"/>
                  <w:vAlign w:val="center"/>
                </w:tcPr>
                <w:p w14:paraId="7EEC8B4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本期项目不属于高耗能、高排放建设项目</w:t>
                  </w:r>
                </w:p>
              </w:tc>
              <w:tc>
                <w:tcPr>
                  <w:tcW w:w="396" w:type="pct"/>
                  <w:shd w:val="clear" w:color="auto" w:fill="auto"/>
                  <w:vAlign w:val="center"/>
                </w:tcPr>
                <w:p w14:paraId="190CBB6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AB61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7A925C9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3D45D88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依法依规推动传统高耗能、高排放行业的产能淘汰、转型升级和域外搬迁，支撑和推动示范区产业减污降碳</w:t>
                  </w:r>
                </w:p>
              </w:tc>
              <w:tc>
                <w:tcPr>
                  <w:tcW w:w="803" w:type="pct"/>
                  <w:shd w:val="clear" w:color="auto" w:fill="auto"/>
                  <w:vAlign w:val="center"/>
                </w:tcPr>
                <w:p w14:paraId="08F9A8F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3D83CC4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769F4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7A7562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3F04BD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各产业集聚类重点管控单元根据产业集聚区块的功能定位，实施差异化的产业准入条件，严格实施污染物总量控制和环境风险防范制度，推进集聚区生态化改造，提高资源能源利用效率</w:t>
                  </w:r>
                </w:p>
              </w:tc>
              <w:tc>
                <w:tcPr>
                  <w:tcW w:w="803" w:type="pct"/>
                  <w:shd w:val="clear" w:color="auto" w:fill="auto"/>
                  <w:vAlign w:val="center"/>
                </w:tcPr>
                <w:p w14:paraId="11D4D6A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本期项目污染物总量在吴江区域内平衡</w:t>
                  </w:r>
                </w:p>
              </w:tc>
              <w:tc>
                <w:tcPr>
                  <w:tcW w:w="396" w:type="pct"/>
                  <w:shd w:val="clear" w:color="auto" w:fill="auto"/>
                  <w:vAlign w:val="center"/>
                </w:tcPr>
                <w:p w14:paraId="32E237D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CBB3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C3E0E3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E261B5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产业园区邻近现有及规划集中居住区的，应合理设置产业控制带，细化产业控制带设置范围及产业准入要求。产业控制带内原则上不得新建住宅、学校、医疗机构等敏感目标，不宜引入环境风险潜势为II 级及以上的项目（依据《建设项目环境风险评价技术导则》）</w:t>
                  </w:r>
                </w:p>
              </w:tc>
              <w:tc>
                <w:tcPr>
                  <w:tcW w:w="803" w:type="pct"/>
                  <w:shd w:val="clear" w:color="auto" w:fill="auto"/>
                  <w:vAlign w:val="center"/>
                </w:tcPr>
                <w:p w14:paraId="43D06E5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3460285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FDAF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7424DB3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6F7A0A2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城镇生活类重点管控单元发展高端生产性服务业和高附加值都市型工业，重点深化生活、交通领域污染减排</w:t>
                  </w:r>
                </w:p>
              </w:tc>
              <w:tc>
                <w:tcPr>
                  <w:tcW w:w="803" w:type="pct"/>
                  <w:shd w:val="clear" w:color="auto" w:fill="auto"/>
                  <w:vAlign w:val="center"/>
                </w:tcPr>
                <w:p w14:paraId="2A8E807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77B64AE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519B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586DF26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2C38CDD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一般管控单元以促进生活、生态、生产功能的融合为导向，重点加强农业、生活等领域污染治理，加 强永久基本农田保护，严格限制非农项目占用耕地，促进城乡空间的弹性有机生长</w:t>
                  </w:r>
                </w:p>
              </w:tc>
              <w:tc>
                <w:tcPr>
                  <w:tcW w:w="803" w:type="pct"/>
                  <w:shd w:val="clear" w:color="auto" w:fill="auto"/>
                  <w:vAlign w:val="center"/>
                </w:tcPr>
                <w:p w14:paraId="228C206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27EAFC7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3DB606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5640703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14D8A4D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优先保护单元生态保护红线应确保功能不降低、面积不减少、性质不改变，一般生态空间以生态保护 为重点，原则上不得开展有损主导生态功能的开发建设活动</w:t>
                  </w:r>
                </w:p>
              </w:tc>
              <w:tc>
                <w:tcPr>
                  <w:tcW w:w="803" w:type="pct"/>
                  <w:shd w:val="clear" w:color="auto" w:fill="auto"/>
                  <w:vAlign w:val="center"/>
                </w:tcPr>
                <w:p w14:paraId="1179EEE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39CEC2A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B31F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restart"/>
                  <w:shd w:val="clear" w:color="auto" w:fill="auto"/>
                  <w:vAlign w:val="center"/>
                </w:tcPr>
                <w:p w14:paraId="58AA8C5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三、禁止事项</w:t>
                  </w:r>
                </w:p>
              </w:tc>
              <w:tc>
                <w:tcPr>
                  <w:tcW w:w="3340" w:type="pct"/>
                  <w:shd w:val="clear" w:color="auto" w:fill="auto"/>
                  <w:vAlign w:val="center"/>
                </w:tcPr>
                <w:p w14:paraId="1D9C1BD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严格执行相关法律法规，禁止开展和建设损害生态保护红线主导生态功能、法律法规禁止的活动和项 目。结构性生态空间内禁止对主导生态功能产生影响的开发建设活动</w:t>
                  </w:r>
                </w:p>
              </w:tc>
              <w:tc>
                <w:tcPr>
                  <w:tcW w:w="803" w:type="pct"/>
                  <w:shd w:val="clear" w:color="auto" w:fill="auto"/>
                  <w:vAlign w:val="center"/>
                </w:tcPr>
                <w:p w14:paraId="384BA28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56457DF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2A618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461" w:type="pct"/>
                  <w:vMerge w:val="continue"/>
                  <w:shd w:val="clear" w:color="auto" w:fill="auto"/>
                  <w:vAlign w:val="center"/>
                </w:tcPr>
                <w:p w14:paraId="01A837F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4DAAC8F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长江流域重点水域自2021年1月1日起实行为期10年的常年禁捕，国家、省级水生生物保护区实行年禁捕，禁捕期内全面禁止生产性捕捞和垂钓。禁止在水产种质资源保护区的岸线和河段范围内新建围湖造田等投资建设项目。淀山湖生物多样性维护区、大莲湖生物多样性维护区、嘉善县生物多样性维护区内，禁止违法猎捕野生动物、破坏野生动物栖息地和生存环境，禁止开展破坏其生态功能的活动</w:t>
                  </w:r>
                </w:p>
              </w:tc>
              <w:tc>
                <w:tcPr>
                  <w:tcW w:w="803" w:type="pct"/>
                  <w:shd w:val="clear" w:color="auto" w:fill="auto"/>
                  <w:vAlign w:val="center"/>
                </w:tcPr>
                <w:p w14:paraId="46F45FC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4B0394C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239E47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ABBC8D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0DBAED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自然保护区核心区、缓冲区的岸线和河段范围内投资建设旅游和生产经营项目。禁止在风景名胜区核心景区的岸线和河段范围内投资建设与风景名胜资源保护无关的项目。禁止在太湖（吴江区）重要湿地、吴江同里国家湿地公园（试点）、吴江震泽省级湿地公园的岸线和河段范围内挖沙、采矿，以及不符合主体功能定位的投资建设项目。林地、河流等生态空间严格执行相关法律法规或管理办法，禁止建设或开展法律法规规定不能建设或开展的项目或活动</w:t>
                  </w:r>
                </w:p>
              </w:tc>
              <w:tc>
                <w:tcPr>
                  <w:tcW w:w="803" w:type="pct"/>
                  <w:shd w:val="clear" w:color="auto" w:fill="auto"/>
                  <w:vAlign w:val="center"/>
                </w:tcPr>
                <w:p w14:paraId="6415D7E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0859857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113512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E1AABC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22CA8BC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禁止在饮用水水源一级保护区新建、改建、扩建与供水设施和保护水源无关的项目，以及网箱养殖、畜禽养殖、旅游等可能污染饮用水水体的投资建设活动。禁止在饮用水水源二级保护区范围内新建、 改建、扩建排放污染物的建设项目。禁止在饮用水水源准保护区内新建、扩建污染水体的建设项目；改建项目不得增加排污量。对确实无法避让、涉及生态保护红线和相关法定保护区的线性交通设施、水利设施项目以及保障城市安全的工程项目，应采取无害化穿（跨）越方式，并依法依规取得相关主管部门的同意</w:t>
                  </w:r>
                </w:p>
              </w:tc>
              <w:tc>
                <w:tcPr>
                  <w:tcW w:w="803" w:type="pct"/>
                  <w:shd w:val="clear" w:color="auto" w:fill="auto"/>
                  <w:vAlign w:val="center"/>
                </w:tcPr>
                <w:p w14:paraId="51D2E63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339C50C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DA494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2474FA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4175A47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违法利用、占用长江流域河湖岸线。禁止在《全国窒要江河湖泊水功能区划》划定的河段及湖泊保护区、保留区内投资建设不利于水资源及自然生态保护的项目。禁止未经法定许可占用水域和建设影响河道自然形态和水生态（环境）功能的项目</w:t>
                  </w:r>
                </w:p>
              </w:tc>
              <w:tc>
                <w:tcPr>
                  <w:tcW w:w="803" w:type="pct"/>
                  <w:shd w:val="clear" w:color="auto" w:fill="auto"/>
                  <w:vAlign w:val="center"/>
                </w:tcPr>
                <w:p w14:paraId="6C23D57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3CD1D1B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0AA75F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EE25DB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155D9E5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未经同意在长江流域江河、湖泊新设、改设或扩大排污口。禁止在长江干支流、重要湖泊岸线一公里范围内新建、扩建化工园区和化工项目，现有化工企业依法逐步淘汰搬迁。禁止在长江干流岸线三公里范围内和重要支流岸线1公里范围内新建、 改建、扩建尾矿库、冶炼渣库和磷石膏库，以提升安全、生态环境保护水平为目的的改建除外</w:t>
                  </w:r>
                </w:p>
              </w:tc>
              <w:tc>
                <w:tcPr>
                  <w:tcW w:w="803" w:type="pct"/>
                  <w:shd w:val="clear" w:color="auto" w:fill="auto"/>
                  <w:vAlign w:val="center"/>
                </w:tcPr>
                <w:p w14:paraId="78083B2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2743AA3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694DB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42DA9E0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45BB43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除战略新兴产业项目外，太湖流域原则上不再审批其他生产性新增氮磷污染物的工业类建设项目。太湖沿岸5公里范围内，禁止新建、扩建向水体排放污染物的建设项目，禁止新建、扩建畜禽养殖场，禁止新建、扩建高尔夫球场和设置水上餐饮经营设施</w:t>
                  </w:r>
                </w:p>
              </w:tc>
              <w:tc>
                <w:tcPr>
                  <w:tcW w:w="803" w:type="pct"/>
                  <w:shd w:val="clear" w:color="auto" w:fill="auto"/>
                  <w:vAlign w:val="center"/>
                </w:tcPr>
                <w:p w14:paraId="7967CDF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76B4480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6965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2910EF0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2CC5978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禁止建设不符合全国和省级港口布局规划以及港口总体规划的码头项目。禁止新建、扩建不符合国家石化、现代煤化工等产业布局规划的项目</w:t>
                  </w:r>
                </w:p>
              </w:tc>
              <w:tc>
                <w:tcPr>
                  <w:tcW w:w="803" w:type="pct"/>
                  <w:shd w:val="clear" w:color="auto" w:fill="auto"/>
                  <w:vAlign w:val="center"/>
                </w:tcPr>
                <w:p w14:paraId="73F759C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1CD6450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F0C22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37A333D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504AAF4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禁止新增化工园区。禁止在合规园区外新建、扩建钢铁、石化、化工、焦化、建材、有色、制浆造纸等高污染项目。高污染项目清单参照生态环境部《环境保护综合名录》执行</w:t>
                  </w:r>
                </w:p>
              </w:tc>
              <w:tc>
                <w:tcPr>
                  <w:tcW w:w="803" w:type="pct"/>
                  <w:shd w:val="clear" w:color="auto" w:fill="auto"/>
                  <w:vAlign w:val="center"/>
                </w:tcPr>
                <w:p w14:paraId="7D7A657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6293E62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4B6AC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1EAED31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383E2DF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严格禁止煤炭、重汕、渣汕、石油焦等高污染燃料的使用（除电站锅炉、钢铁冶炼窑炉以外）。禁止建设企业自备燃煤设施。禁止新建、扩建燃用高污染燃料的设施（除热电行业以外）</w:t>
                  </w:r>
                </w:p>
              </w:tc>
              <w:tc>
                <w:tcPr>
                  <w:tcW w:w="803" w:type="pct"/>
                  <w:shd w:val="clear" w:color="auto" w:fill="auto"/>
                  <w:vAlign w:val="center"/>
                </w:tcPr>
                <w:p w14:paraId="53BE28F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105ED36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r w14:paraId="5C73A5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vMerge w:val="continue"/>
                  <w:shd w:val="clear" w:color="auto" w:fill="auto"/>
                  <w:vAlign w:val="center"/>
                </w:tcPr>
                <w:p w14:paraId="61A6FEC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40" w:type="pct"/>
                  <w:shd w:val="clear" w:color="auto" w:fill="auto"/>
                  <w:vAlign w:val="center"/>
                </w:tcPr>
                <w:p w14:paraId="0EA4C5F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在地下水禁止开采区内禁止取用地下水，但不包括《地下水管理条例》第三十五条所列三种情形。在 地下水限制开采区内禁止新增取用地下水，并逐步削减地下水取水量</w:t>
                  </w:r>
                </w:p>
              </w:tc>
              <w:tc>
                <w:tcPr>
                  <w:tcW w:w="803" w:type="pct"/>
                  <w:shd w:val="clear" w:color="auto" w:fill="auto"/>
                  <w:vAlign w:val="center"/>
                </w:tcPr>
                <w:p w14:paraId="581F4EA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不涉及</w:t>
                  </w:r>
                </w:p>
              </w:tc>
              <w:tc>
                <w:tcPr>
                  <w:tcW w:w="396" w:type="pct"/>
                  <w:shd w:val="clear" w:color="auto" w:fill="auto"/>
                  <w:vAlign w:val="center"/>
                </w:tcPr>
                <w:p w14:paraId="247F3C2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符合</w:t>
                  </w:r>
                </w:p>
              </w:tc>
            </w:tr>
          </w:tbl>
          <w:p w14:paraId="4BE60ABF">
            <w:pPr>
              <w:adjustRightInd w:val="0"/>
              <w:snapToGrid w:val="0"/>
              <w:spacing w:line="480" w:lineRule="exact"/>
              <w:ind w:firstLine="420" w:firstLineChars="200"/>
              <w:jc w:val="left"/>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综上，本期项目的建设不在上述负面清单中。本期项目属于</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热力生产和供应</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行业，经查阅《市场准入负面清单（20</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年版）》、《限制用地项目目录（2012年本）》、《禁止用地项目目录（2012年本）》、《江苏省限制用地项目目录（2013年本）》及《江苏省禁止用地项目目录（2013年本）》，本期项目不属于限制和禁止类项目。同时，本期项目主要为</w:t>
            </w:r>
            <w:r>
              <w:rPr>
                <w:rFonts w:hint="default" w:ascii="Times New Roman" w:hAnsi="Times New Roman" w:eastAsia="宋体" w:cs="Times New Roman"/>
                <w:bCs/>
                <w:color w:val="000000" w:themeColor="text1"/>
                <w:kern w:val="0"/>
                <w:sz w:val="21"/>
                <w:szCs w:val="21"/>
                <w:highlight w:val="none"/>
                <w:lang w:eastAsia="zh-CN"/>
                <w14:textFill>
                  <w14:solidFill>
                    <w14:schemeClr w14:val="tx1"/>
                  </w14:solidFill>
                </w14:textFill>
              </w:rPr>
              <w:t>燃气供热锅炉建设项目</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，不在《江苏省“两高”项目管理目录（2024年版）》中，因此，本期项目的建设符合相关要求。</w:t>
            </w:r>
          </w:p>
          <w:p w14:paraId="0AA635B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t>3、</w:t>
            </w:r>
            <w:r>
              <w:rPr>
                <w:rFonts w:hint="default" w:ascii="Times New Roman" w:hAnsi="Times New Roman" w:eastAsia="宋体" w:cs="Times New Roman"/>
                <w:b/>
                <w:bCs/>
                <w:snapToGrid w:val="0"/>
                <w:color w:val="000000" w:themeColor="text1"/>
                <w:kern w:val="2"/>
                <w:sz w:val="21"/>
                <w:szCs w:val="21"/>
                <w:highlight w:val="none"/>
                <w:lang w:val="en-US" w:eastAsia="zh-CN" w:bidi="ar-SA"/>
                <w14:textFill>
                  <w14:solidFill>
                    <w14:schemeClr w14:val="tx1"/>
                  </w14:solidFill>
                </w14:textFill>
              </w:rPr>
              <w:t>与《大运河苏州段核心监控区国土空间管控细则》（苏府规字〔2022〕8号）相符性分析</w:t>
            </w:r>
          </w:p>
          <w:p w14:paraId="0C9A3A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本细则所称核心监控区，是指大运河苏州段主河道两岸各2千米范围。核心监控区按照滨河生态空间、建成区和核心监控区其他区域（“三区”）予以分区管控。滨河生态空间，是指核心监控区内，原则上除建成区外，大运河苏州段主河道两岸各1千米范围内的区域。建成区是指核心监控区范围内，城镇开发边界以内的区域和城镇开发边界以外的村庄建设区。核心监控区其他区域是指核心监控区内除滨河生态空间及建成区以外的区域。</w:t>
            </w:r>
          </w:p>
          <w:p w14:paraId="26905D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核心监控区其他区域内，实行负面清单管理，禁止以下建设项目准入：</w:t>
            </w:r>
          </w:p>
          <w:p w14:paraId="6E4B47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（一）非建成区内，大规模新建扩建房地产、大型及特大型主题公园等开发项目；</w:t>
            </w:r>
          </w:p>
          <w:p w14:paraId="1A7DD4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（二）新建扩建高风险、高污染、高耗水产业和不利于生态环境保护的工矿企业，以及不符合相关规划的码头工程；</w:t>
            </w:r>
          </w:p>
          <w:p w14:paraId="11350D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（三）对大运河沿线生态环境可能产生较大影响或景观破坏的；</w:t>
            </w:r>
          </w:p>
          <w:p w14:paraId="149D1C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（四）不符合国家和省关于生态保护红线、永久基本农田、生态空间管控区域相关规定的；</w:t>
            </w:r>
          </w:p>
          <w:p w14:paraId="53028B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（五）不符合《产业结构调整指导目录（2019年本）》、《市场准入负面清单（2022年版）》、《江苏省长江经济带发展负面清单实施细则》及江苏省河湖岸线保护和开发利用相关要求的；</w:t>
            </w:r>
          </w:p>
          <w:p w14:paraId="1AABFD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（六）法律法规禁止或限制的其他情形。</w:t>
            </w:r>
          </w:p>
          <w:p w14:paraId="01738E1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本项目位于</w:t>
            </w: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江苏省</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苏州市吴江区平望镇平运路39号</w:t>
            </w: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，本项目所在厂区距离京杭运河的最近距离约1.03km，属于建成区。</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本项目所在地属于工业用地，</w:t>
            </w: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利用现有厂区的预留空地进行建设，不新增用地</w:t>
            </w:r>
            <w:r>
              <w:rPr>
                <w:rFonts w:hint="default" w:ascii="Times New Roman" w:hAnsi="Times New Roman" w:eastAsia="宋体" w:cs="Times New Roman"/>
                <w:snapToGrid w:val="0"/>
                <w:color w:val="000000" w:themeColor="text1"/>
                <w:kern w:val="2"/>
                <w:sz w:val="21"/>
                <w:szCs w:val="21"/>
                <w:highlight w:val="none"/>
                <w:lang w:val="en-US" w:eastAsia="zh-CN" w:bidi="ar-SA"/>
                <w14:textFill>
                  <w14:solidFill>
                    <w14:schemeClr w14:val="tx1"/>
                  </w14:solidFill>
                </w14:textFill>
              </w:rPr>
              <w:t>。本项目为天然气锅炉项目，不属于禁止建设项目。本项目产生的污染物均经合理可行的处理设施处理及处置，不会对大运河沿线生态环境和景观产生较大影响。本项目符合国家和省关于生态保护红线、永久基本农田、生态空间管控区域相关规定，符合《产业结构调整指导目录》、《市场准入负面清单》、《江苏省长江经济带发展负面清单实施细则》及江苏省河湖岸线保护和开发利用的相关要求。因此，本项目的建设符合《大运河苏州段核心监控区国土空间管控细则》（苏府规字〔2022〕8号）的相关要求。</w:t>
            </w:r>
          </w:p>
          <w:p w14:paraId="1222C15A">
            <w:pPr>
              <w:autoSpaceDE w:val="0"/>
              <w:autoSpaceDN w:val="0"/>
              <w:adjustRightInd w:val="0"/>
              <w:snapToGrid w:val="0"/>
              <w:spacing w:line="480" w:lineRule="exact"/>
              <w:jc w:val="left"/>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4、太湖流域管理条例相符性分析</w:t>
            </w:r>
          </w:p>
          <w:p w14:paraId="47313809">
            <w:pPr>
              <w:adjustRightInd w:val="0"/>
              <w:snapToGrid w:val="0"/>
              <w:spacing w:line="48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本期项目距离太湖水体约</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11.96</w:t>
            </w:r>
            <w:r>
              <w:rPr>
                <w:rFonts w:hint="default" w:ascii="Times New Roman" w:hAnsi="Times New Roman" w:eastAsia="宋体" w:cs="Times New Roman"/>
                <w:color w:val="000000" w:themeColor="text1"/>
                <w:sz w:val="21"/>
                <w:szCs w:val="21"/>
                <w:highlight w:val="none"/>
                <w14:textFill>
                  <w14:solidFill>
                    <w14:schemeClr w14:val="tx1"/>
                  </w14:solidFill>
                </w14:textFill>
              </w:rPr>
              <w:t>km，根据《省政府办公厅关于公布江苏省太湖流域三级保护区范围的通知》（苏政办发〔2012〕221号），本期项目所在地属于三级保护区，根据《太湖流域管理条例》（2011年8月24日国务院169次常务会议通过）第二十八条，禁止在太湖流域设置不符合国家产业政策和水环境综合治理要求的造纸、制革、酒精、淀粉、冶金、酿造、印染、电镀等排放水污染物的生产项目，现有的生产项目不能实现达标排放的，应当依法关闭；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该责令拆除或者关闭。</w:t>
            </w:r>
          </w:p>
          <w:p w14:paraId="5244707E">
            <w:pPr>
              <w:spacing w:line="44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本期项目主要为天然气锅炉项目，不属于条例中禁止的行业，</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本期项目</w:t>
            </w:r>
            <w:r>
              <w:rPr>
                <w:rFonts w:hint="default" w:ascii="Times New Roman" w:hAnsi="Times New Roman" w:eastAsia="宋体" w:cs="Times New Roman"/>
                <w:color w:val="000000" w:themeColor="text1"/>
                <w:sz w:val="21"/>
                <w:szCs w:val="21"/>
                <w:highlight w:val="none"/>
                <w14:textFill>
                  <w14:solidFill>
                    <w14:schemeClr w14:val="tx1"/>
                  </w14:solidFill>
                </w14:textFill>
              </w:rPr>
              <w:t>无含氮、磷工业废水排放</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外排废水</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接管平望镇污水处理厂集中处理，</w:t>
            </w:r>
            <w:r>
              <w:rPr>
                <w:rFonts w:hint="default" w:ascii="Times New Roman" w:hAnsi="Times New Roman" w:eastAsia="宋体" w:cs="Times New Roman"/>
                <w:color w:val="000000" w:themeColor="text1"/>
                <w:sz w:val="21"/>
                <w:szCs w:val="21"/>
                <w:highlight w:val="none"/>
                <w14:textFill>
                  <w14:solidFill>
                    <w14:schemeClr w14:val="tx1"/>
                  </w14:solidFill>
                </w14:textFill>
              </w:rPr>
              <w:t>项目不新增排污口，不属于直接向水体排放污染物的项目。项目距离太浦河</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2.2</w:t>
            </w:r>
            <w:r>
              <w:rPr>
                <w:rFonts w:hint="default" w:ascii="Times New Roman" w:hAnsi="Times New Roman" w:eastAsia="宋体" w:cs="Times New Roman"/>
                <w:color w:val="000000" w:themeColor="text1"/>
                <w:sz w:val="21"/>
                <w:szCs w:val="21"/>
                <w:highlight w:val="none"/>
                <w14:textFill>
                  <w14:solidFill>
                    <w14:schemeClr w14:val="tx1"/>
                  </w14:solidFill>
                </w14:textFill>
              </w:rPr>
              <w:t>km，且无剧毒物质、危化品的存放。因此本期项目符合《太湖流域管理条例》的有关规定。</w:t>
            </w:r>
          </w:p>
          <w:p w14:paraId="1E9371D9">
            <w:pPr>
              <w:spacing w:line="440" w:lineRule="exact"/>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5、江苏省太湖水污染防治条例相符性分析</w:t>
            </w:r>
          </w:p>
          <w:p w14:paraId="6FB131CD">
            <w:pPr>
              <w:adjustRightInd w:val="0"/>
              <w:snapToGrid w:val="0"/>
              <w:spacing w:line="46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本期项目位于太湖流域三级保护区，</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根据《江苏省太湖水污染防治条例》（2018年修订）</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第四十三条  太湖流域一、二、三级保护区禁止下列行为：</w:t>
            </w:r>
          </w:p>
          <w:p w14:paraId="7E466A30">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（一）新建、改建、扩建化学制浆造纸、制革、酿造、染料、印染、电镀以及其他排放含磷、氮等污染物的企业和项目，城镇污水集中处理等环境基础设施项目和第四十六条规定的情形除外；</w:t>
            </w:r>
          </w:p>
          <w:p w14:paraId="20600453">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（二）销售、使用含磷洗涤用品；</w:t>
            </w:r>
          </w:p>
          <w:p w14:paraId="79449021">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（三）向水体排放或者倾倒油类、酸液、碱液、剧毒废渣废液、含放射性废渣废液、含病原体污水、工业废渣以及其他废弃物；</w:t>
            </w:r>
          </w:p>
          <w:p w14:paraId="6C116A55">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（四）在水体清洗装贮过油类或者有毒有害污染物的车辆、船舶和容器等；</w:t>
            </w:r>
          </w:p>
          <w:p w14:paraId="6E51C0E6">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（五）使用农药等有毒物毒杀水生生物；</w:t>
            </w:r>
          </w:p>
          <w:p w14:paraId="502E10DB">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（六）向水体直接排放人畜粪便、倾倒垃圾；</w:t>
            </w:r>
          </w:p>
          <w:p w14:paraId="10885CEE">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（七）围湖造地；</w:t>
            </w:r>
          </w:p>
          <w:p w14:paraId="76B9E3DA">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（八）违法开山采石，或者进行破坏林木、植被、水生生物的活动；</w:t>
            </w:r>
          </w:p>
          <w:p w14:paraId="33C14814">
            <w:pPr>
              <w:adjustRightInd w:val="0"/>
              <w:snapToGrid w:val="0"/>
              <w:spacing w:line="464"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（九）法律、法规禁止的其他行为。</w:t>
            </w:r>
          </w:p>
          <w:p w14:paraId="4366A0E9">
            <w:pPr>
              <w:adjustRightInd w:val="0"/>
              <w:snapToGrid w:val="0"/>
              <w:spacing w:line="464"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本期项目主要为</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燃气供热锅炉建设项目</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本期项目</w:t>
            </w:r>
            <w:r>
              <w:rPr>
                <w:rFonts w:hint="default" w:ascii="Times New Roman" w:hAnsi="Times New Roman" w:eastAsia="宋体" w:cs="Times New Roman"/>
                <w:color w:val="000000" w:themeColor="text1"/>
                <w:sz w:val="21"/>
                <w:szCs w:val="21"/>
                <w:highlight w:val="none"/>
                <w14:textFill>
                  <w14:solidFill>
                    <w14:schemeClr w14:val="tx1"/>
                  </w14:solidFill>
                </w14:textFill>
              </w:rPr>
              <w:t>无含氮、磷工业废水排放</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外排废水</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接管平望镇污水处理厂集中处理，</w:t>
            </w:r>
            <w:r>
              <w:rPr>
                <w:rFonts w:hint="default" w:ascii="Times New Roman" w:hAnsi="Times New Roman" w:eastAsia="宋体" w:cs="Times New Roman"/>
                <w:color w:val="000000" w:themeColor="text1"/>
                <w:sz w:val="21"/>
                <w:szCs w:val="21"/>
                <w:highlight w:val="none"/>
                <w14:textFill>
                  <w14:solidFill>
                    <w14:schemeClr w14:val="tx1"/>
                  </w14:solidFill>
                </w14:textFill>
              </w:rPr>
              <w:t>项目不新增排污口，不属于直接向水体排放污染物的项目</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，因此本期项目符合</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《江苏省太湖水污染防治条例》的有关规定，满足太湖流域三级保护区要求。</w:t>
            </w:r>
          </w:p>
          <w:p w14:paraId="0636EE33">
            <w:pPr>
              <w:adjustRightInd w:val="0"/>
              <w:snapToGrid w:val="0"/>
              <w:spacing w:line="440" w:lineRule="exact"/>
              <w:rPr>
                <w:rFonts w:hint="default" w:ascii="Times New Roman" w:hAnsi="Times New Roman" w:eastAsia="宋体" w:cs="Times New Roman"/>
                <w:b/>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6、与《深入打好重污染天气消除、臭氧污染防治和柴油货车污染治理攻坚战行动方案》相符性分析</w:t>
            </w:r>
          </w:p>
          <w:p w14:paraId="21659847">
            <w:pPr>
              <w:adjustRightInd w:val="0"/>
              <w:snapToGrid w:val="0"/>
              <w:spacing w:line="48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加快实施低VOCs含量原辅材料代替。各地对溶剂型涂料、油墨、胶黏剂、清洗剂使用企业制定低VOCs含量原辅材料替代计划。全面推进汽车整车制造底漆、中涂、色漆使用低VOCs含量涂料；在木质家具、汽车零部件、工程机械、钢结构、船舶制造技术成熟的工艺环节，大力推广使用低VOCs含量涂料，重点区域、中央企业加大使用比例。在房屋建筑和市政工程中，全面推广使用低VOCs含量涂料和胶黏剂；重点区域、珠三角地区除特殊功能要求外的室内地坪施工、室外构筑物防护和城市道路交通标志基本使用低VOCs含量涂料。完善VOCs产品标准体系，建立低VOCs含量产品标识制度。</w:t>
            </w:r>
          </w:p>
          <w:p w14:paraId="12B81E02">
            <w:pPr>
              <w:adjustRightInd w:val="0"/>
              <w:snapToGrid w:val="0"/>
              <w:spacing w:line="48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开展简易低效VOCs治理设施清理整治。各地全面梳理VOCs治理设施台账，分析治理技术、处理能力与VOCs废气排放特征、组分等匹配性，对采用单一低温等离子、光氧化、光催化以及非水溶性VOCs废气采用单一喷淋吸收等治理技术且无法稳定达标的。加快推进升级改造，严把工程质量，确保达标排放。</w:t>
            </w:r>
          </w:p>
          <w:p w14:paraId="5687ABE1">
            <w:pPr>
              <w:adjustRightInd w:val="0"/>
              <w:snapToGrid w:val="0"/>
              <w:spacing w:line="48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实施工业锅炉和炉窑提标改造。生物质锅炉氮氧化物排放浓度无法稳定达标的，加装高效脱硝设施。燃气锅炉实施低氮燃烧改造，对低氮燃烧器、烟气再循环系统、 分级燃烧系统、燃料及风量调配系统等关键部件要严把质量关，确保低氮燃烧系统稳定运行，2025年底前基本完成；推动燃气锅炉取消烟气再循环系统开关阀，确有必要保留的，可通过设置电动阀、气动阀或铅封等方式加强监管。玻璃、铸造、石灰等行业炉窑，依据新制修订的排放标准实施提标改造；鼓励臭氧污染严重地区结合实际制定更为严格的地方排放标准（生态环境部牵头负责）</w:t>
            </w:r>
          </w:p>
          <w:p w14:paraId="4C86711B">
            <w:pPr>
              <w:adjustRightInd w:val="0"/>
              <w:snapToGrid w:val="0"/>
              <w:spacing w:line="480" w:lineRule="exact"/>
              <w:ind w:firstLine="420" w:firstLineChars="200"/>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本期项目为天然气锅炉，采用低氮燃烧技术，符合上述要求。</w:t>
            </w:r>
          </w:p>
          <w:p w14:paraId="26EDEAAC">
            <w:pPr>
              <w:keepNext w:val="0"/>
              <w:keepLines w:val="0"/>
              <w:pageBreakBefore w:val="0"/>
              <w:widowControl w:val="0"/>
              <w:kinsoku/>
              <w:wordWrap/>
              <w:overflowPunct/>
              <w:topLinePunct w:val="0"/>
              <w:autoSpaceDE w:val="0"/>
              <w:autoSpaceDN w:val="0"/>
              <w:bidi w:val="0"/>
              <w:adjustRightInd w:val="0"/>
              <w:snapToGrid w:val="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7</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、与《关于加强高耗能、高排放建设项目生态环境源头防控的指导意见》相符性分析</w:t>
            </w:r>
          </w:p>
          <w:p w14:paraId="0402D218">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关于加强高耗能、高排放建设项目生态环境源头防控的指导意见》（环环评[2021]45号），“（三）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w:t>
            </w:r>
          </w:p>
          <w:p w14:paraId="44F84D39">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本项目行业类别为“</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D4430热力生产和供应</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根据《关于印发&lt;江苏省“两高”项目管理目录（2024年版）&gt;的通知》（苏发改规发[2024]4号），本项目不在目录中，不属于两高项目。</w:t>
            </w:r>
          </w:p>
          <w:p w14:paraId="345C72C2">
            <w:pPr>
              <w:pageBreakBefore w:val="0"/>
              <w:kinsoku/>
              <w:wordWrap/>
              <w:overflowPunct/>
              <w:topLinePunct w:val="0"/>
              <w:autoSpaceDE w:val="0"/>
              <w:autoSpaceDN w:val="0"/>
              <w:bidi w:val="0"/>
              <w:adjustRightInd w:val="0"/>
              <w:snapToGrid w:val="0"/>
              <w:rPr>
                <w:rFonts w:hint="default" w:ascii="Times New Roman" w:hAnsi="Times New Roman" w:eastAsia="宋体" w:cs="Times New Roman"/>
                <w:b/>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8、</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与《</w:t>
            </w: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江苏省</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“十四五”生态环境保护规划》</w:t>
            </w:r>
            <w:r>
              <w:rPr>
                <w:rFonts w:hint="default" w:ascii="Times New Roman" w:hAnsi="Times New Roman" w:eastAsia="宋体" w:cs="Times New Roman"/>
                <w:b/>
                <w:color w:val="000000" w:themeColor="text1"/>
                <w:sz w:val="21"/>
                <w:szCs w:val="21"/>
                <w:highlight w:val="none"/>
                <w:lang w:bidi="ar"/>
                <w14:textFill>
                  <w14:solidFill>
                    <w14:schemeClr w14:val="tx1"/>
                  </w14:solidFill>
                </w14:textFill>
              </w:rPr>
              <w:t>相符性分析</w:t>
            </w:r>
          </w:p>
          <w:p w14:paraId="23FB5678">
            <w:pPr>
              <w:adjustRightInd w:val="0"/>
              <w:snapToGrid w:val="0"/>
              <w:spacing w:line="440" w:lineRule="exact"/>
              <w:ind w:firstLine="420" w:firstLineChars="200"/>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本项目与《江苏省“十四五”生态环境保护规划》（苏政办发〔2021〕84号）、《苏州市</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“十四五”生态环境保护规划</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》（苏府办〔2021〕275号）、《吴江区“十四五”生态环境保护规划》（吴政办〔2022〕153号）相符性分析见下表。</w:t>
            </w:r>
          </w:p>
          <w:p w14:paraId="69A89654">
            <w:pPr>
              <w:pageBreakBefore w:val="0"/>
              <w:numPr>
                <w:ilvl w:val="255"/>
                <w:numId w:val="0"/>
              </w:numPr>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表1-</w:t>
            </w:r>
            <w:r>
              <w:rPr>
                <w:rFonts w:hint="eastAsia" w:cs="Times New Roman"/>
                <w:b/>
                <w:bCs/>
                <w:color w:val="000000" w:themeColor="text1"/>
                <w:sz w:val="21"/>
                <w:szCs w:val="21"/>
                <w:highlight w:val="none"/>
                <w:lang w:val="en-US" w:eastAsia="zh-CN"/>
                <w14:textFill>
                  <w14:solidFill>
                    <w14:schemeClr w14:val="tx1"/>
                  </w14:solidFill>
                </w14:textFill>
              </w:rPr>
              <w:t>9</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 xml:space="preserve">  与《“十四五”生态环境保护规划》相符性分析表</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446"/>
              <w:gridCol w:w="5081"/>
              <w:gridCol w:w="1841"/>
              <w:gridCol w:w="643"/>
            </w:tblGrid>
            <w:tr w14:paraId="21D448C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4AE7C53A">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序号</w:t>
                  </w:r>
                </w:p>
              </w:tc>
              <w:tc>
                <w:tcPr>
                  <w:tcW w:w="5670" w:type="dxa"/>
                  <w:tcBorders>
                    <w:tl2br w:val="nil"/>
                    <w:tr2bl w:val="nil"/>
                  </w:tcBorders>
                  <w:vAlign w:val="center"/>
                </w:tcPr>
                <w:p w14:paraId="5D5882C4">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相关要求</w:t>
                  </w:r>
                </w:p>
              </w:tc>
              <w:tc>
                <w:tcPr>
                  <w:tcW w:w="1997" w:type="dxa"/>
                  <w:tcBorders>
                    <w:tl2br w:val="nil"/>
                    <w:tr2bl w:val="nil"/>
                  </w:tcBorders>
                  <w:vAlign w:val="center"/>
                </w:tcPr>
                <w:p w14:paraId="60BCC199">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项目情况</w:t>
                  </w:r>
                </w:p>
              </w:tc>
              <w:tc>
                <w:tcPr>
                  <w:tcW w:w="678" w:type="dxa"/>
                  <w:tcBorders>
                    <w:tl2br w:val="nil"/>
                    <w:tr2bl w:val="nil"/>
                  </w:tcBorders>
                  <w:vAlign w:val="center"/>
                </w:tcPr>
                <w:p w14:paraId="527DF74B">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相符性</w:t>
                  </w:r>
                </w:p>
              </w:tc>
            </w:tr>
            <w:tr w14:paraId="010435D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8798" w:type="dxa"/>
                  <w:gridSpan w:val="4"/>
                  <w:tcBorders>
                    <w:tl2br w:val="nil"/>
                    <w:tr2bl w:val="nil"/>
                  </w:tcBorders>
                  <w:vAlign w:val="center"/>
                </w:tcPr>
                <w:p w14:paraId="4A350369">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《江苏省“十四五”生态环境保护规划》（苏政办发〔2021〕84号）</w:t>
                  </w:r>
                </w:p>
              </w:tc>
            </w:tr>
            <w:tr w14:paraId="190F7C0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54EFF9ED">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1</w:t>
                  </w:r>
                </w:p>
              </w:tc>
              <w:tc>
                <w:tcPr>
                  <w:tcW w:w="5670" w:type="dxa"/>
                  <w:tcBorders>
                    <w:tl2br w:val="nil"/>
                    <w:tr2bl w:val="nil"/>
                  </w:tcBorders>
                  <w:shd w:val="clear" w:color="auto" w:fill="auto"/>
                  <w:vAlign w:val="center"/>
                </w:tcPr>
                <w:p w14:paraId="693C73D2">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b/>
                      <w:bCs/>
                      <w:color w:val="000000" w:themeColor="text1"/>
                      <w:spacing w:val="9"/>
                      <w:sz w:val="18"/>
                      <w:szCs w:val="18"/>
                      <w:highlight w:val="none"/>
                      <w14:textFill>
                        <w14:solidFill>
                          <w14:schemeClr w14:val="tx1"/>
                        </w14:solidFill>
                      </w14:textFill>
                    </w:rPr>
                    <w:t>推进大气污染深度治理强化达标目标</w:t>
                  </w:r>
                  <w:r>
                    <w:rPr>
                      <w:rFonts w:hint="default" w:ascii="Times New Roman" w:hAnsi="Times New Roman" w:eastAsia="宋体" w:cs="Times New Roman"/>
                      <w:b/>
                      <w:bCs/>
                      <w:color w:val="000000" w:themeColor="text1"/>
                      <w:spacing w:val="3"/>
                      <w:sz w:val="18"/>
                      <w:szCs w:val="18"/>
                      <w:highlight w:val="none"/>
                      <w14:textFill>
                        <w14:solidFill>
                          <w14:schemeClr w14:val="tx1"/>
                        </w14:solidFill>
                      </w14:textFill>
                    </w:rPr>
                    <w:t>引领。</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加强达标进程管理，研究制定</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未达标城市环境空气质量达标路线图及污染防治重点任务，对空气质量改善不达标的市、县（市、区）强化大气主要污染物总量减排，推动更多城</w:t>
                  </w:r>
                  <w:r>
                    <w:rPr>
                      <w:rFonts w:hint="default" w:ascii="Times New Roman" w:hAnsi="Times New Roman" w:eastAsia="宋体" w:cs="Times New Roman"/>
                      <w:color w:val="000000" w:themeColor="text1"/>
                      <w:spacing w:val="31"/>
                      <w:sz w:val="18"/>
                      <w:szCs w:val="18"/>
                      <w:highlight w:val="none"/>
                      <w14:textFill>
                        <w14:solidFill>
                          <w14:schemeClr w14:val="tx1"/>
                        </w14:solidFill>
                      </w14:textFill>
                    </w:rPr>
                    <w:t>市空气质量稳步达标。统筹考虑</w:t>
                  </w:r>
                  <w:r>
                    <w:rPr>
                      <w:rFonts w:hint="default" w:ascii="Times New Roman" w:hAnsi="Times New Roman" w:eastAsia="宋体" w:cs="Times New Roman"/>
                      <w:color w:val="000000" w:themeColor="text1"/>
                      <w:sz w:val="18"/>
                      <w:szCs w:val="18"/>
                      <w:highlight w:val="none"/>
                      <w14:textFill>
                        <w14:solidFill>
                          <w14:schemeClr w14:val="tx1"/>
                        </w14:solidFill>
                      </w14:textFill>
                    </w:rPr>
                    <w:t>PM</w:t>
                  </w:r>
                  <w:r>
                    <w:rPr>
                      <w:rFonts w:hint="default" w:ascii="Times New Roman" w:hAnsi="Times New Roman" w:eastAsia="宋体" w:cs="Times New Roman"/>
                      <w:color w:val="000000" w:themeColor="text1"/>
                      <w:spacing w:val="13"/>
                      <w:sz w:val="18"/>
                      <w:szCs w:val="18"/>
                      <w:highlight w:val="none"/>
                      <w:vertAlign w:val="subscript"/>
                      <w14:textFill>
                        <w14:solidFill>
                          <w14:schemeClr w14:val="tx1"/>
                        </w14:solidFill>
                      </w14:textFill>
                    </w:rPr>
                    <w:t>2.5</w:t>
                  </w:r>
                  <w:r>
                    <w:rPr>
                      <w:rFonts w:hint="default" w:ascii="Times New Roman" w:hAnsi="Times New Roman" w:eastAsia="宋体" w:cs="Times New Roman"/>
                      <w:color w:val="000000" w:themeColor="text1"/>
                      <w:spacing w:val="13"/>
                      <w:sz w:val="18"/>
                      <w:szCs w:val="18"/>
                      <w:highlight w:val="none"/>
                      <w14:textFill>
                        <w14:solidFill>
                          <w14:schemeClr w14:val="tx1"/>
                        </w14:solidFill>
                      </w14:textFill>
                    </w:rPr>
                    <w:t>和臭氧污染区域传输规律和季</w:t>
                  </w: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节性特征，加强重点区域、重点时段、</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重点行业治理，强化差异化精细化管</w:t>
                  </w:r>
                  <w:r>
                    <w:rPr>
                      <w:rFonts w:hint="default" w:ascii="Times New Roman" w:hAnsi="Times New Roman" w:eastAsia="宋体" w:cs="Times New Roman"/>
                      <w:color w:val="000000" w:themeColor="text1"/>
                      <w:spacing w:val="10"/>
                      <w:sz w:val="18"/>
                      <w:szCs w:val="18"/>
                      <w:highlight w:val="none"/>
                      <w14:textFill>
                        <w14:solidFill>
                          <w14:schemeClr w14:val="tx1"/>
                        </w14:solidFill>
                      </w14:textFill>
                    </w:rPr>
                    <w:t>控。严格落实空气质量目标责任制，</w:t>
                  </w: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深化“点位长”负责制，完善定期通</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报排名制度，及时开展监测预警、督</w:t>
                  </w:r>
                  <w: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t>查帮扶。</w:t>
                  </w:r>
                </w:p>
              </w:tc>
              <w:tc>
                <w:tcPr>
                  <w:tcW w:w="1997" w:type="dxa"/>
                  <w:tcBorders>
                    <w:tl2br w:val="nil"/>
                    <w:tr2bl w:val="nil"/>
                  </w:tcBorders>
                  <w:shd w:val="clear" w:color="auto" w:fill="auto"/>
                  <w:vAlign w:val="center"/>
                </w:tcPr>
                <w:p w14:paraId="302AADBD">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根据《</w:t>
                  </w:r>
                  <w:r>
                    <w:rPr>
                      <w:rFonts w:hint="eastAsia" w:ascii="Times New Roman" w:hAnsi="Times New Roman" w:cs="Times New Roman"/>
                      <w:color w:val="000000" w:themeColor="text1"/>
                      <w:sz w:val="18"/>
                      <w:szCs w:val="18"/>
                      <w:highlight w:val="none"/>
                      <w:lang w:eastAsia="zh-CN"/>
                      <w14:textFill>
                        <w14:solidFill>
                          <w14:schemeClr w14:val="tx1"/>
                        </w14:solidFill>
                      </w14:textFill>
                    </w:rPr>
                    <w:t>2024年度苏州市生态环境状况公报</w:t>
                  </w: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w:t>
                  </w:r>
                  <w:r>
                    <w:rPr>
                      <w:rFonts w:hint="default" w:ascii="Times New Roman" w:hAnsi="Times New Roman" w:eastAsia="宋体" w:cs="Times New Roman"/>
                      <w:color w:val="000000" w:themeColor="text1"/>
                      <w:spacing w:val="-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15"/>
                      <w:sz w:val="18"/>
                      <w:szCs w:val="18"/>
                      <w:highlight w:val="none"/>
                      <w14:textFill>
                        <w14:solidFill>
                          <w14:schemeClr w14:val="tx1"/>
                        </w14:solidFill>
                      </w14:textFill>
                    </w:rPr>
                    <w:t>本项目所在区域环境空气质量为不</w:t>
                  </w:r>
                  <w:r>
                    <w:rPr>
                      <w:rFonts w:hint="default" w:ascii="Times New Roman" w:hAnsi="Times New Roman" w:eastAsia="宋体" w:cs="Times New Roman"/>
                      <w:color w:val="000000" w:themeColor="text1"/>
                      <w:sz w:val="18"/>
                      <w:szCs w:val="18"/>
                      <w:highlight w:val="none"/>
                      <w14:textFill>
                        <w14:solidFill>
                          <w14:schemeClr w14:val="tx1"/>
                        </w14:solidFill>
                      </w14:textFill>
                    </w:rPr>
                    <w:t>达标区，本项目采取的</w:t>
                  </w:r>
                  <w:r>
                    <w:rPr>
                      <w:rFonts w:hint="default" w:ascii="Times New Roman" w:hAnsi="Times New Roman" w:eastAsia="宋体" w:cs="Times New Roman"/>
                      <w:color w:val="000000" w:themeColor="text1"/>
                      <w:spacing w:val="22"/>
                      <w:sz w:val="18"/>
                      <w:szCs w:val="18"/>
                      <w:highlight w:val="none"/>
                      <w14:textFill>
                        <w14:solidFill>
                          <w14:schemeClr w14:val="tx1"/>
                        </w14:solidFill>
                      </w14:textFill>
                    </w:rPr>
                    <w:t>废气治理措施能满足</w:t>
                  </w:r>
                  <w:r>
                    <w:rPr>
                      <w:rFonts w:hint="default" w:ascii="Times New Roman" w:hAnsi="Times New Roman" w:eastAsia="宋体" w:cs="Times New Roman"/>
                      <w:color w:val="000000" w:themeColor="text1"/>
                      <w:spacing w:val="15"/>
                      <w:sz w:val="18"/>
                      <w:szCs w:val="18"/>
                      <w:highlight w:val="none"/>
                      <w14:textFill>
                        <w14:solidFill>
                          <w14:schemeClr w14:val="tx1"/>
                        </w14:solidFill>
                      </w14:textFill>
                    </w:rPr>
                    <w:t>区域环境质量改善目</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标管理。</w:t>
                  </w:r>
                </w:p>
              </w:tc>
              <w:tc>
                <w:tcPr>
                  <w:tcW w:w="678" w:type="dxa"/>
                  <w:tcBorders>
                    <w:tl2br w:val="nil"/>
                    <w:tr2bl w:val="nil"/>
                  </w:tcBorders>
                  <w:vAlign w:val="center"/>
                </w:tcPr>
                <w:p w14:paraId="1C473AF7">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相符</w:t>
                  </w:r>
                </w:p>
              </w:tc>
            </w:tr>
            <w:tr w14:paraId="2178093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1AA2A8CB">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2</w:t>
                  </w:r>
                </w:p>
              </w:tc>
              <w:tc>
                <w:tcPr>
                  <w:tcW w:w="5670" w:type="dxa"/>
                  <w:tcBorders>
                    <w:tl2br w:val="nil"/>
                    <w:tr2bl w:val="nil"/>
                  </w:tcBorders>
                  <w:shd w:val="clear" w:color="auto" w:fill="auto"/>
                  <w:vAlign w:val="center"/>
                </w:tcPr>
                <w:p w14:paraId="0A90CBAE">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b/>
                      <w:bCs/>
                      <w:color w:val="000000" w:themeColor="text1"/>
                      <w:spacing w:val="9"/>
                      <w:sz w:val="18"/>
                      <w:szCs w:val="18"/>
                      <w:highlight w:val="none"/>
                      <w14:textFill>
                        <w14:solidFill>
                          <w14:schemeClr w14:val="tx1"/>
                        </w14:solidFill>
                      </w14:textFill>
                    </w:rPr>
                    <w:t>加强恶臭、有毒有害气体治理。</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推进</w:t>
                  </w:r>
                  <w:r>
                    <w:rPr>
                      <w:rFonts w:hint="default" w:ascii="Times New Roman" w:hAnsi="Times New Roman" w:eastAsia="宋体" w:cs="Times New Roman"/>
                      <w:color w:val="000000" w:themeColor="text1"/>
                      <w:spacing w:val="10"/>
                      <w:sz w:val="18"/>
                      <w:szCs w:val="18"/>
                      <w:highlight w:val="none"/>
                      <w14:textFill>
                        <w14:solidFill>
                          <w14:schemeClr w14:val="tx1"/>
                        </w14:solidFill>
                      </w14:textFill>
                    </w:rPr>
                    <w:t>无异味园区建设，探索建立化工园区</w:t>
                  </w: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“嗅辨+监测”异味溯源机制，研究</w:t>
                  </w:r>
                  <w:r>
                    <w:rPr>
                      <w:rFonts w:hint="default" w:ascii="Times New Roman" w:hAnsi="Times New Roman" w:eastAsia="宋体" w:cs="Times New Roman"/>
                      <w:color w:val="000000" w:themeColor="text1"/>
                      <w:spacing w:val="10"/>
                      <w:sz w:val="18"/>
                      <w:szCs w:val="18"/>
                      <w:highlight w:val="none"/>
                      <w14:textFill>
                        <w14:solidFill>
                          <w14:schemeClr w14:val="tx1"/>
                        </w14:solidFill>
                      </w14:textFill>
                    </w:rPr>
                    <w:t>制定化工园区恶臭判定标准，划定园</w:t>
                  </w: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区恶臭等级，减少化工园区异味扰民。</w:t>
                  </w:r>
                  <w:r>
                    <w:rPr>
                      <w:rFonts w:hint="default" w:ascii="Times New Roman" w:hAnsi="Times New Roman" w:eastAsia="宋体" w:cs="Times New Roman"/>
                      <w:color w:val="000000" w:themeColor="text1"/>
                      <w:spacing w:val="10"/>
                      <w:sz w:val="18"/>
                      <w:szCs w:val="18"/>
                      <w:highlight w:val="none"/>
                      <w14:textFill>
                        <w14:solidFill>
                          <w14:schemeClr w14:val="tx1"/>
                        </w14:solidFill>
                      </w14:textFill>
                    </w:rPr>
                    <w:t>探索将氨排放控制纳入电力、水泥、焦化等重点行业地方排放标准，推进种植业、养殖业大气氨减排。积极开展消耗臭氧层物质（ODS）管理，推进有毒有害大气污染物排放控制。</w:t>
                  </w:r>
                </w:p>
              </w:tc>
              <w:tc>
                <w:tcPr>
                  <w:tcW w:w="1997" w:type="dxa"/>
                  <w:tcBorders>
                    <w:tl2br w:val="nil"/>
                    <w:tr2bl w:val="nil"/>
                  </w:tcBorders>
                  <w:shd w:val="clear" w:color="auto" w:fill="auto"/>
                  <w:vAlign w:val="center"/>
                </w:tcPr>
                <w:p w14:paraId="4E806E21">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17"/>
                      <w:sz w:val="18"/>
                      <w:szCs w:val="18"/>
                      <w:highlight w:val="none"/>
                      <w14:textFill>
                        <w14:solidFill>
                          <w14:schemeClr w14:val="tx1"/>
                        </w14:solidFill>
                      </w14:textFill>
                    </w:rPr>
                    <w:t>本项目</w:t>
                  </w:r>
                  <w:r>
                    <w:rPr>
                      <w:rFonts w:hint="default" w:ascii="Times New Roman" w:hAnsi="Times New Roman" w:eastAsia="宋体" w:cs="Times New Roman"/>
                      <w:color w:val="000000" w:themeColor="text1"/>
                      <w:spacing w:val="17"/>
                      <w:sz w:val="18"/>
                      <w:szCs w:val="18"/>
                      <w:highlight w:val="none"/>
                      <w:lang w:val="en-US" w:eastAsia="zh-CN"/>
                      <w14:textFill>
                        <w14:solidFill>
                          <w14:schemeClr w14:val="tx1"/>
                        </w14:solidFill>
                      </w14:textFill>
                    </w:rPr>
                    <w:t>天然气锅炉采用低氮燃烧技术，废气</w:t>
                  </w:r>
                  <w:r>
                    <w:rPr>
                      <w:rFonts w:hint="default" w:ascii="Times New Roman" w:hAnsi="Times New Roman" w:eastAsia="宋体" w:cs="Times New Roman"/>
                      <w:color w:val="000000" w:themeColor="text1"/>
                      <w:spacing w:val="0"/>
                      <w:sz w:val="18"/>
                      <w:szCs w:val="18"/>
                      <w:highlight w:val="none"/>
                      <w:lang w:val="en-US" w:eastAsia="zh-CN"/>
                      <w14:textFill>
                        <w14:solidFill>
                          <w14:schemeClr w14:val="tx1"/>
                        </w14:solidFill>
                      </w14:textFill>
                    </w:rPr>
                    <w:t>通过25米高排气筒有</w:t>
                  </w:r>
                  <w:r>
                    <w:rPr>
                      <w:rFonts w:hint="default" w:ascii="Times New Roman" w:hAnsi="Times New Roman" w:eastAsia="宋体" w:cs="Times New Roman"/>
                      <w:color w:val="000000" w:themeColor="text1"/>
                      <w:spacing w:val="0"/>
                      <w:sz w:val="18"/>
                      <w:szCs w:val="18"/>
                      <w:highlight w:val="none"/>
                      <w14:textFill>
                        <w14:solidFill>
                          <w14:schemeClr w14:val="tx1"/>
                        </w14:solidFill>
                      </w14:textFill>
                    </w:rPr>
                    <w:t>组织排放</w:t>
                  </w:r>
                  <w:r>
                    <w:rPr>
                      <w:rFonts w:hint="default" w:ascii="Times New Roman" w:hAnsi="Times New Roman" w:eastAsia="宋体" w:cs="Times New Roman"/>
                      <w:color w:val="000000" w:themeColor="text1"/>
                      <w:spacing w:val="2"/>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2"/>
                      <w:sz w:val="18"/>
                      <w:szCs w:val="18"/>
                      <w:highlight w:val="none"/>
                      <w:lang w:val="en-US" w:eastAsia="zh-CN"/>
                      <w14:textFill>
                        <w14:solidFill>
                          <w14:schemeClr w14:val="tx1"/>
                        </w14:solidFill>
                      </w14:textFill>
                    </w:rPr>
                    <w:t>本项目不属于所列重点行业。</w:t>
                  </w:r>
                </w:p>
              </w:tc>
              <w:tc>
                <w:tcPr>
                  <w:tcW w:w="678" w:type="dxa"/>
                  <w:tcBorders>
                    <w:tl2br w:val="nil"/>
                    <w:tr2bl w:val="nil"/>
                  </w:tcBorders>
                  <w:vAlign w:val="center"/>
                </w:tcPr>
                <w:p w14:paraId="13458872">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相符</w:t>
                  </w:r>
                </w:p>
              </w:tc>
            </w:tr>
            <w:tr w14:paraId="433BBC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16866F7A">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3</w:t>
                  </w:r>
                </w:p>
              </w:tc>
              <w:tc>
                <w:tcPr>
                  <w:tcW w:w="5670" w:type="dxa"/>
                  <w:tcBorders>
                    <w:tl2br w:val="nil"/>
                    <w:tr2bl w:val="nil"/>
                  </w:tcBorders>
                  <w:shd w:val="clear" w:color="auto" w:fill="auto"/>
                  <w:vAlign w:val="center"/>
                </w:tcPr>
                <w:p w14:paraId="067581FB">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b/>
                      <w:bCs/>
                      <w:color w:val="000000" w:themeColor="text1"/>
                      <w:spacing w:val="9"/>
                      <w:sz w:val="18"/>
                      <w:szCs w:val="18"/>
                      <w:highlight w:val="none"/>
                      <w14:textFill>
                        <w14:solidFill>
                          <w14:schemeClr w14:val="tx1"/>
                        </w14:solidFill>
                      </w14:textFill>
                    </w:rPr>
                    <w:t>持续巩固工业水污染防治。</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推进纺织</w:t>
                  </w: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印染、医药、食品、电镀等行业整治</w:t>
                  </w: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提升，严格工业园区水污染管控要求，</w:t>
                  </w: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加快实施“一园一档，一企一管”，</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推进长江、太湖等重点流域工业集聚区生活污水和工业废水分类收集、分质处理。完善工业园区环境基础设施建设，持续推进省级以上工业园区污</w:t>
                  </w: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水处理设施整治专项行动，推动日排</w:t>
                  </w:r>
                  <w:r>
                    <w:rPr>
                      <w:rFonts w:hint="default" w:ascii="Times New Roman" w:hAnsi="Times New Roman" w:eastAsia="宋体" w:cs="Times New Roman"/>
                      <w:color w:val="000000" w:themeColor="text1"/>
                      <w:spacing w:val="14"/>
                      <w:sz w:val="18"/>
                      <w:szCs w:val="18"/>
                      <w:highlight w:val="none"/>
                      <w14:textFill>
                        <w14:solidFill>
                          <w14:schemeClr w14:val="tx1"/>
                        </w14:solidFill>
                      </w14:textFill>
                    </w:rPr>
                    <w:t>水量500吨以上污水集中处理设施进</w:t>
                  </w:r>
                  <w:r>
                    <w:rPr>
                      <w:rFonts w:hint="default" w:ascii="Times New Roman" w:hAnsi="Times New Roman" w:eastAsia="宋体" w:cs="Times New Roman"/>
                      <w:color w:val="000000" w:themeColor="text1"/>
                      <w:spacing w:val="9"/>
                      <w:sz w:val="18"/>
                      <w:szCs w:val="18"/>
                      <w:highlight w:val="none"/>
                      <w14:textFill>
                        <w14:solidFill>
                          <w14:schemeClr w14:val="tx1"/>
                        </w14:solidFill>
                      </w14:textFill>
                    </w:rPr>
                    <w:t>水口、出水口安装水量、水质自动监</w:t>
                  </w: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控设备及配套设施。加强对重金属、</w:t>
                  </w: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有机有毒等特征水污染物监管。</w:t>
                  </w:r>
                </w:p>
              </w:tc>
              <w:tc>
                <w:tcPr>
                  <w:tcW w:w="1997" w:type="dxa"/>
                  <w:tcBorders>
                    <w:tl2br w:val="nil"/>
                    <w:tr2bl w:val="nil"/>
                  </w:tcBorders>
                  <w:shd w:val="clear" w:color="auto" w:fill="auto"/>
                  <w:vAlign w:val="center"/>
                </w:tcPr>
                <w:p w14:paraId="1BA0AC10">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2"/>
                      <w:sz w:val="18"/>
                      <w:szCs w:val="18"/>
                      <w:highlight w:val="none"/>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本项目</w:t>
                  </w:r>
                  <w:r>
                    <w:rPr>
                      <w:rFonts w:hint="eastAsia" w:ascii="Times New Roman" w:hAnsi="Times New Roman" w:cs="Times New Roman"/>
                      <w:color w:val="000000" w:themeColor="text1"/>
                      <w:sz w:val="18"/>
                      <w:szCs w:val="18"/>
                      <w:highlight w:val="none"/>
                      <w:lang w:val="en-US" w:eastAsia="zh-CN"/>
                      <w14:textFill>
                        <w14:solidFill>
                          <w14:schemeClr w14:val="tx1"/>
                        </w14:solidFill>
                      </w14:textFill>
                    </w:rPr>
                    <w:t>生产</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废水经厂内废水处理系统处理后接管平望镇污水处理厂</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集中处理</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78" w:type="dxa"/>
                  <w:tcBorders>
                    <w:tl2br w:val="nil"/>
                    <w:tr2bl w:val="nil"/>
                  </w:tcBorders>
                  <w:vAlign w:val="center"/>
                </w:tcPr>
                <w:p w14:paraId="6F47DCD2">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相符</w:t>
                  </w:r>
                </w:p>
              </w:tc>
            </w:tr>
            <w:tr w14:paraId="6E216C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8798" w:type="dxa"/>
                  <w:gridSpan w:val="4"/>
                  <w:tcBorders>
                    <w:tl2br w:val="nil"/>
                    <w:tr2bl w:val="nil"/>
                  </w:tcBorders>
                  <w:vAlign w:val="center"/>
                </w:tcPr>
                <w:p w14:paraId="4DB7A4E7">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《苏州市“十四五”生态环境保护规划》（苏府办〔2021〕275号）</w:t>
                  </w:r>
                </w:p>
              </w:tc>
            </w:tr>
            <w:tr w14:paraId="3F4246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14ECAA2E">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1</w:t>
                  </w:r>
                </w:p>
              </w:tc>
              <w:tc>
                <w:tcPr>
                  <w:tcW w:w="5670" w:type="dxa"/>
                  <w:tcBorders>
                    <w:tl2br w:val="nil"/>
                    <w:tr2bl w:val="nil"/>
                  </w:tcBorders>
                  <w:vAlign w:val="center"/>
                </w:tcPr>
                <w:p w14:paraId="7B6F7BE7">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推动传统产业绿色转型。</w:t>
                  </w: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严格落实国家落后产能退出指导意见，依法淘汰落后产能和“两高”行业低效低端产能。深入开展化工产业安全环保整治提升工作，推进低端落后化工产能淘汰。</w:t>
                  </w:r>
                </w:p>
              </w:tc>
              <w:tc>
                <w:tcPr>
                  <w:tcW w:w="1997" w:type="dxa"/>
                  <w:tcBorders>
                    <w:tl2br w:val="nil"/>
                    <w:tr2bl w:val="nil"/>
                  </w:tcBorders>
                  <w:vAlign w:val="center"/>
                </w:tcPr>
                <w:p w14:paraId="08098737">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本项目不属于落后产能和“两高”行业。</w:t>
                  </w:r>
                </w:p>
              </w:tc>
              <w:tc>
                <w:tcPr>
                  <w:tcW w:w="678" w:type="dxa"/>
                  <w:tcBorders>
                    <w:tl2br w:val="nil"/>
                    <w:tr2bl w:val="nil"/>
                  </w:tcBorders>
                  <w:vAlign w:val="center"/>
                </w:tcPr>
                <w:p w14:paraId="0892C6BB">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0BDD5C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47A29B35">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2</w:t>
                  </w:r>
                </w:p>
              </w:tc>
              <w:tc>
                <w:tcPr>
                  <w:tcW w:w="5670" w:type="dxa"/>
                  <w:tcBorders>
                    <w:tl2br w:val="nil"/>
                    <w:tr2bl w:val="nil"/>
                  </w:tcBorders>
                  <w:vAlign w:val="center"/>
                </w:tcPr>
                <w:p w14:paraId="4F5674DB">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分类实施原材料绿色化替代。</w:t>
                  </w: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按照国家、省清洁原料替代要求，在技术成熟领域持续推进使用低VOCs含量的涂料、油墨、胶粘剂、清洗剂和其他低（无）VOCs含量、低反应活性的原辅材料，提高木质家具、工程机械制造、汽车制造行业低挥发性有机物含量涂料产品使用比例，在技术尚未全部成熟领域开展替代试点，从源头减少VOCs产生。</w:t>
                  </w:r>
                </w:p>
              </w:tc>
              <w:tc>
                <w:tcPr>
                  <w:tcW w:w="1997" w:type="dxa"/>
                  <w:tcBorders>
                    <w:tl2br w:val="nil"/>
                    <w:tr2bl w:val="nil"/>
                  </w:tcBorders>
                  <w:vAlign w:val="center"/>
                </w:tcPr>
                <w:p w14:paraId="0157CCF8">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本项目不使用涂料、油墨、胶粘剂、清洗剂原辅料。</w:t>
                  </w:r>
                </w:p>
              </w:tc>
              <w:tc>
                <w:tcPr>
                  <w:tcW w:w="678" w:type="dxa"/>
                  <w:tcBorders>
                    <w:tl2br w:val="nil"/>
                    <w:tr2bl w:val="nil"/>
                  </w:tcBorders>
                  <w:vAlign w:val="center"/>
                </w:tcPr>
                <w:p w14:paraId="0DCBC4F5">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587224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8798" w:type="dxa"/>
                  <w:gridSpan w:val="4"/>
                  <w:tcBorders>
                    <w:tl2br w:val="nil"/>
                    <w:tr2bl w:val="nil"/>
                  </w:tcBorders>
                  <w:vAlign w:val="center"/>
                </w:tcPr>
                <w:p w14:paraId="0D98A697">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eastAsia="zh-CN"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eastAsia="zh-CN" w:bidi="ar"/>
                      <w14:textFill>
                        <w14:solidFill>
                          <w14:schemeClr w14:val="tx1"/>
                        </w14:solidFill>
                      </w14:textFill>
                    </w:rPr>
                    <w:t>《吴江区“十四五”生态环境保护规划》（吴政办〔2022〕153号）</w:t>
                  </w:r>
                </w:p>
              </w:tc>
            </w:tr>
            <w:tr w14:paraId="465808F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664D1292">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1</w:t>
                  </w:r>
                </w:p>
              </w:tc>
              <w:tc>
                <w:tcPr>
                  <w:tcW w:w="5670" w:type="dxa"/>
                  <w:tcBorders>
                    <w:tl2br w:val="nil"/>
                    <w:tr2bl w:val="nil"/>
                  </w:tcBorders>
                  <w:vAlign w:val="center"/>
                </w:tcPr>
                <w:p w14:paraId="354B87FD">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baseline"/>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强力推进蓝天保卫战。</w:t>
                  </w:r>
                  <w:r>
                    <w:rPr>
                      <w:rFonts w:hint="default" w:ascii="Times New Roman" w:hAnsi="Times New Roman" w:eastAsia="宋体" w:cs="Times New Roman"/>
                      <w:b w:val="0"/>
                      <w:bCs w:val="0"/>
                      <w:color w:val="000000" w:themeColor="text1"/>
                      <w:sz w:val="18"/>
                      <w:szCs w:val="18"/>
                      <w:highlight w:val="none"/>
                      <w:lang w:bidi="ar"/>
                      <w14:textFill>
                        <w14:solidFill>
                          <w14:schemeClr w14:val="tx1"/>
                        </w14:solidFill>
                      </w14:textFill>
                    </w:rPr>
                    <w:t>优化清洁能源替代，重点完成燃煤锅炉整治。截至2020年底，全区共淘汰燃煤锅炉1900余台。对照治气标准，完成重点行业污染治理升级改造。截至2020年底，全区6家自备电厂（29台锅炉）全部完成超低排放改造；水泥行业完成氮氧化物深度减排；平板玻璃行业脱硫脱硝除尘达到深度减排要求；270家涂层企业811条生产线全部安装废气回收装置，实施分级分类管理，72家印染企业的642台定型机安装两级废气处理装置，每天减少甲苯、DMF、油烟等有机废气排放280多吨。</w:t>
                  </w:r>
                </w:p>
              </w:tc>
              <w:tc>
                <w:tcPr>
                  <w:tcW w:w="1997" w:type="dxa"/>
                  <w:tcBorders>
                    <w:tl2br w:val="nil"/>
                    <w:tr2bl w:val="nil"/>
                  </w:tcBorders>
                  <w:vAlign w:val="center"/>
                </w:tcPr>
                <w:p w14:paraId="217D3573">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本项目为天然气锅炉项目，天然气属于清洁能源。</w:t>
                  </w:r>
                </w:p>
              </w:tc>
              <w:tc>
                <w:tcPr>
                  <w:tcW w:w="678" w:type="dxa"/>
                  <w:tcBorders>
                    <w:tl2br w:val="nil"/>
                    <w:tr2bl w:val="nil"/>
                  </w:tcBorders>
                  <w:vAlign w:val="center"/>
                </w:tcPr>
                <w:p w14:paraId="080A3CD2">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77E4BE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62484DA4">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2</w:t>
                  </w:r>
                </w:p>
              </w:tc>
              <w:tc>
                <w:tcPr>
                  <w:tcW w:w="5670" w:type="dxa"/>
                  <w:tcBorders>
                    <w:tl2br w:val="nil"/>
                    <w:tr2bl w:val="nil"/>
                  </w:tcBorders>
                  <w:vAlign w:val="center"/>
                </w:tcPr>
                <w:p w14:paraId="4ED94E67">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baseline"/>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加强锅炉和炉窑综合治理。</w:t>
                  </w:r>
                  <w:r>
                    <w:rPr>
                      <w:rFonts w:hint="default" w:ascii="Times New Roman" w:hAnsi="Times New Roman" w:eastAsia="宋体" w:cs="Times New Roman"/>
                      <w:b w:val="0"/>
                      <w:bCs w:val="0"/>
                      <w:color w:val="000000" w:themeColor="text1"/>
                      <w:sz w:val="18"/>
                      <w:szCs w:val="18"/>
                      <w:highlight w:val="none"/>
                      <w:lang w:bidi="ar"/>
                      <w14:textFill>
                        <w14:solidFill>
                          <w14:schemeClr w14:val="tx1"/>
                        </w14:solidFill>
                      </w14:textFill>
                    </w:rPr>
                    <w:t>开展拉网式排查，2021年逐步建立辖区内各类锅炉和工业炉窑管理清单。全面完成燃气锅炉低氮改造工作，氮氧化物排放浓度不高于50毫克/立方米。2021年全面完成全区5蒸吨/小时以下燃气锅炉低氮改造任务，并全面开展一轮5蒸吨/小时及以上燃气锅炉低氮改造情况“回头看”。</w:t>
                  </w:r>
                </w:p>
              </w:tc>
              <w:tc>
                <w:tcPr>
                  <w:tcW w:w="1997" w:type="dxa"/>
                  <w:tcBorders>
                    <w:tl2br w:val="nil"/>
                    <w:tr2bl w:val="nil"/>
                  </w:tcBorders>
                  <w:vAlign w:val="center"/>
                </w:tcPr>
                <w:p w14:paraId="6C997EF6">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本项目天然气锅炉采用低氮燃烧技术。</w:t>
                  </w:r>
                </w:p>
              </w:tc>
              <w:tc>
                <w:tcPr>
                  <w:tcW w:w="678" w:type="dxa"/>
                  <w:tcBorders>
                    <w:tl2br w:val="nil"/>
                    <w:tr2bl w:val="nil"/>
                  </w:tcBorders>
                  <w:vAlign w:val="center"/>
                </w:tcPr>
                <w:p w14:paraId="206399E0">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73CA1D6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0" w:hRule="atLeast"/>
                <w:jc w:val="center"/>
              </w:trPr>
              <w:tc>
                <w:tcPr>
                  <w:tcW w:w="453" w:type="dxa"/>
                  <w:tcBorders>
                    <w:tl2br w:val="nil"/>
                    <w:tr2bl w:val="nil"/>
                  </w:tcBorders>
                  <w:vAlign w:val="center"/>
                </w:tcPr>
                <w:p w14:paraId="548BC2EF">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3</w:t>
                  </w:r>
                </w:p>
              </w:tc>
              <w:tc>
                <w:tcPr>
                  <w:tcW w:w="5670" w:type="dxa"/>
                  <w:tcBorders>
                    <w:tl2br w:val="nil"/>
                    <w:tr2bl w:val="nil"/>
                  </w:tcBorders>
                  <w:vAlign w:val="center"/>
                </w:tcPr>
                <w:p w14:paraId="09324960">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both"/>
                    <w:textAlignment w:val="baseline"/>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加强工业企业排水管理。</w:t>
                  </w:r>
                  <w:r>
                    <w:rPr>
                      <w:rFonts w:hint="default" w:ascii="Times New Roman" w:hAnsi="Times New Roman" w:eastAsia="宋体" w:cs="Times New Roman"/>
                      <w:b w:val="0"/>
                      <w:bCs w:val="0"/>
                      <w:color w:val="000000" w:themeColor="text1"/>
                      <w:sz w:val="18"/>
                      <w:szCs w:val="18"/>
                      <w:highlight w:val="none"/>
                      <w:lang w:bidi="ar"/>
                      <w14:textFill>
                        <w14:solidFill>
                          <w14:schemeClr w14:val="tx1"/>
                        </w14:solidFill>
                      </w14:textFill>
                    </w:rPr>
                    <w:t>全面加强工业废水接纳口管控，避免水量水质冲击和双向稀释。新建冶金、电镀、化工、印染、原料药制造、金属表面处理、光伏面板加工等工业企业（有工业废水处理资质且出水达到国家标准的原料药制造企业除外）排放的含重金属或难以生化降解的废水，以及有关工业企业排放的高盐废水，一律不得接入城镇生活污水处理设施。</w:t>
                  </w:r>
                </w:p>
              </w:tc>
              <w:tc>
                <w:tcPr>
                  <w:tcW w:w="1997" w:type="dxa"/>
                  <w:tcBorders>
                    <w:tl2br w:val="nil"/>
                    <w:tr2bl w:val="nil"/>
                  </w:tcBorders>
                  <w:vAlign w:val="center"/>
                </w:tcPr>
                <w:p w14:paraId="6F4CF2CB">
                  <w:pPr>
                    <w:pStyle w:val="225"/>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本项目为</w:t>
                  </w: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天然气锅炉项目，</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本项目工业废水经厂内废水处理系统处理后接管平望镇污水处理厂集中处理。</w:t>
                  </w:r>
                </w:p>
              </w:tc>
              <w:tc>
                <w:tcPr>
                  <w:tcW w:w="678" w:type="dxa"/>
                  <w:tcBorders>
                    <w:tl2br w:val="nil"/>
                    <w:tr2bl w:val="nil"/>
                  </w:tcBorders>
                  <w:vAlign w:val="center"/>
                </w:tcPr>
                <w:p w14:paraId="34CD3D9D">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bl>
          <w:p w14:paraId="3FB38FCF">
            <w:pPr>
              <w:pageBreakBefore w:val="0"/>
              <w:numPr>
                <w:ilvl w:val="255"/>
                <w:numId w:val="0"/>
              </w:numPr>
              <w:kinsoku/>
              <w:wordWrap/>
              <w:overflowPunct/>
              <w:topLinePunct w:val="0"/>
              <w:autoSpaceDE w:val="0"/>
              <w:autoSpaceDN w:val="0"/>
              <w:bidi w:val="0"/>
              <w:adjustRightInd w:val="0"/>
              <w:snapToGrid w:val="0"/>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FD713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000000" w:themeColor="text1"/>
                <w:spacing w:val="-4"/>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bidi="ar"/>
                <w14:textFill>
                  <w14:solidFill>
                    <w14:schemeClr w14:val="tx1"/>
                  </w14:solidFill>
                </w14:textFill>
              </w:rPr>
              <w:t>9、</w:t>
            </w:r>
            <w:r>
              <w:rPr>
                <w:rFonts w:hint="default" w:ascii="Times New Roman" w:hAnsi="Times New Roman" w:eastAsia="宋体" w:cs="Times New Roman"/>
                <w:b/>
                <w:bCs/>
                <w:color w:val="000000" w:themeColor="text1"/>
                <w:spacing w:val="-4"/>
                <w:sz w:val="21"/>
                <w:szCs w:val="21"/>
                <w:highlight w:val="none"/>
                <w14:textFill>
                  <w14:solidFill>
                    <w14:schemeClr w14:val="tx1"/>
                  </w14:solidFill>
                </w14:textFill>
              </w:rPr>
              <w:t>与《江苏省“十四五”能源发展规划》相符性分析</w:t>
            </w:r>
          </w:p>
          <w:p w14:paraId="10CDA42D">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《江苏省“十四五”能源发展规划》相关要求如下：</w:t>
            </w:r>
          </w:p>
          <w:p w14:paraId="39FE6BC6">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（1）能源系统效率有新提升。煤电机组供电煤耗下降2克/千瓦时，热电联产机组热电比稳步提高。</w:t>
            </w:r>
          </w:p>
          <w:p w14:paraId="77A930B4">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（2）严控煤电新增规模，持续淘汰煤电落后产能，科学推进符合条件的煤电机组延寿改造，进一步强化燃煤自备电厂管理。</w:t>
            </w:r>
          </w:p>
          <w:p w14:paraId="1D3273B0">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（3）坚持和完善能源消费总量和强度控制制度。聚焦碳达峰目标，贯彻落实能源消费总量和强度“双控”制度，严格煤炭消费等量减量替代，坚决遏制“两高”项目盲目发展。</w:t>
            </w:r>
          </w:p>
          <w:p w14:paraId="3212B36A">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4）推进煤炭清洁高效利用。通过淘汰落后、推广集中供热、实施煤炭清洁替代、提高电力消费等措施，进一步降低规模以下企业散煤消费占比。在电力行业，提高大容量煤电机组比例，持续淘汰煤电落后产能，深化燃煤电厂节能减排升级改造，通过热电联产等途径降低电力行业整体能耗水平。进一步强化燃煤自备电厂管理。</w:t>
            </w:r>
          </w:p>
          <w:p w14:paraId="556F43ED">
            <w:pPr>
              <w:keepNext w:val="0"/>
              <w:keepLines w:val="0"/>
              <w:pageBreakBefore w:val="0"/>
              <w:widowControl w:val="0"/>
              <w:kinsoku/>
              <w:wordWrap/>
              <w:overflowPunct/>
              <w:topLinePunct w:val="0"/>
              <w:autoSpaceDE/>
              <w:autoSpaceDN/>
              <w:bidi w:val="0"/>
              <w:adjustRightInd w:val="0"/>
              <w:snapToGrid w:val="0"/>
              <w:spacing w:line="360" w:lineRule="auto"/>
              <w:ind w:firstLine="404" w:firstLineChars="200"/>
              <w:textAlignment w:val="auto"/>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highlight w:val="none"/>
                <w:lang w:val="en-US" w:eastAsia="zh-CN"/>
                <w14:textFill>
                  <w14:solidFill>
                    <w14:schemeClr w14:val="tx1"/>
                  </w14:solidFill>
                </w14:textFill>
              </w:rPr>
              <w:t>本项目锅炉以天然气为燃料，属于清洁能源，本项目不属于两高项目。因此，本项目的建设符合《江苏省“十四五”能源发展规划》要求。</w:t>
            </w:r>
          </w:p>
          <w:p w14:paraId="6C4FC4C6">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bCs/>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bidi="ar"/>
                <w14:textFill>
                  <w14:solidFill>
                    <w14:schemeClr w14:val="tx1"/>
                  </w14:solidFill>
                </w14:textFill>
              </w:rPr>
              <w:t>与《省生态环境厅关于印发&lt;江苏省固体废物全过程环境监管工作意见&gt;的通知》（苏环办[2024]16号）、《苏州市生态环境局关于印发&lt;加强工业固体废物全过程环境监管的实施意见&gt;的通知》（苏环办字[2024]71号）相符性分析</w:t>
            </w:r>
          </w:p>
          <w:p w14:paraId="26E1C771">
            <w:pPr>
              <w:adjustRightInd w:val="0"/>
              <w:snapToGrid w:val="0"/>
              <w:spacing w:line="240" w:lineRule="auto"/>
              <w:jc w:val="center"/>
              <w:rPr>
                <w:rFonts w:hint="default" w:ascii="Times New Roman" w:hAnsi="Times New Roman" w:eastAsia="宋体" w:cs="Times New Roman"/>
                <w:b/>
                <w:bCs/>
                <w:color w:val="000000" w:themeColor="text1"/>
                <w:sz w:val="21"/>
                <w:szCs w:val="21"/>
                <w:highlight w:val="none"/>
                <w:lang w:bidi="ar"/>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bidi="ar"/>
                <w14:textFill>
                  <w14:solidFill>
                    <w14:schemeClr w14:val="tx1"/>
                  </w14:solidFill>
                </w14:textFill>
              </w:rPr>
              <w:t>表</w:t>
            </w:r>
            <w:r>
              <w:rPr>
                <w:rFonts w:hint="default" w:ascii="Times New Roman" w:hAnsi="Times New Roman" w:eastAsia="宋体" w:cs="Times New Roman"/>
                <w:b w:val="0"/>
                <w:bCs w:val="0"/>
                <w:color w:val="000000" w:themeColor="text1"/>
                <w:sz w:val="21"/>
                <w:szCs w:val="21"/>
                <w:highlight w:val="none"/>
                <w:lang w:val="en-US" w:eastAsia="zh-CN" w:bidi="ar"/>
                <w14:textFill>
                  <w14:solidFill>
                    <w14:schemeClr w14:val="tx1"/>
                  </w14:solidFill>
                </w14:textFill>
              </w:rPr>
              <w:t>1-1</w:t>
            </w:r>
            <w:r>
              <w:rPr>
                <w:rFonts w:hint="eastAsia" w:cs="Times New Roman"/>
                <w:b w:val="0"/>
                <w:bCs w:val="0"/>
                <w:color w:val="000000" w:themeColor="text1"/>
                <w:sz w:val="21"/>
                <w:szCs w:val="21"/>
                <w:highlight w:val="none"/>
                <w:lang w:val="en-US" w:eastAsia="zh-CN" w:bidi="ar"/>
                <w14:textFill>
                  <w14:solidFill>
                    <w14:schemeClr w14:val="tx1"/>
                  </w14:solidFill>
                </w14:textFill>
              </w:rPr>
              <w:t>0</w:t>
            </w:r>
            <w:r>
              <w:rPr>
                <w:rFonts w:hint="default" w:ascii="Times New Roman" w:hAnsi="Times New Roman" w:eastAsia="宋体" w:cs="Times New Roman"/>
                <w:b w:val="0"/>
                <w:bCs w:val="0"/>
                <w:color w:val="000000" w:themeColor="text1"/>
                <w:sz w:val="21"/>
                <w:szCs w:val="21"/>
                <w:highlight w:val="none"/>
                <w:lang w:bidi="ar"/>
                <w14:textFill>
                  <w14:solidFill>
                    <w14:schemeClr w14:val="tx1"/>
                  </w14:solidFill>
                </w14:textFill>
              </w:rPr>
              <w:t xml:space="preserve">  与苏环办[2024]16号、苏环办字[2024]71号相符性分析</w:t>
            </w:r>
            <w:r>
              <w:rPr>
                <w:rFonts w:hint="default" w:ascii="Times New Roman" w:hAnsi="Times New Roman" w:eastAsia="宋体" w:cs="Times New Roman"/>
                <w:b w:val="0"/>
                <w:bCs w:val="0"/>
                <w:iCs/>
                <w:color w:val="000000" w:themeColor="text1"/>
                <w:sz w:val="21"/>
                <w:szCs w:val="21"/>
                <w:highlight w:val="none"/>
                <w:lang w:val="en-US" w:eastAsia="zh-CN" w:bidi="ar"/>
                <w14:textFill>
                  <w14:solidFill>
                    <w14:schemeClr w14:val="tx1"/>
                  </w14:solidFill>
                </w14:textFill>
              </w:rPr>
              <w:t>表</w:t>
            </w:r>
          </w:p>
          <w:tbl>
            <w:tblPr>
              <w:tblStyle w:val="3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5509"/>
              <w:gridCol w:w="1440"/>
              <w:gridCol w:w="635"/>
            </w:tblGrid>
            <w:tr w14:paraId="7D932C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2C7A0A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序号</w:t>
                  </w:r>
                </w:p>
              </w:tc>
              <w:tc>
                <w:tcPr>
                  <w:tcW w:w="6030" w:type="dxa"/>
                  <w:tcBorders>
                    <w:tl2br w:val="nil"/>
                    <w:tr2bl w:val="nil"/>
                  </w:tcBorders>
                  <w:vAlign w:val="center"/>
                </w:tcPr>
                <w:p w14:paraId="02521B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文件要求</w:t>
                  </w:r>
                </w:p>
              </w:tc>
              <w:tc>
                <w:tcPr>
                  <w:tcW w:w="1530" w:type="dxa"/>
                  <w:tcBorders>
                    <w:tl2br w:val="nil"/>
                    <w:tr2bl w:val="nil"/>
                  </w:tcBorders>
                  <w:shd w:val="clear" w:color="auto" w:fill="auto"/>
                  <w:vAlign w:val="center"/>
                </w:tcPr>
                <w:p w14:paraId="59D1AB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bidi="ar"/>
                      <w14:textFill>
                        <w14:solidFill>
                          <w14:schemeClr w14:val="tx1"/>
                        </w14:solidFill>
                      </w14:textFill>
                    </w:rPr>
                    <w:t>项目情况</w:t>
                  </w:r>
                </w:p>
              </w:tc>
              <w:tc>
                <w:tcPr>
                  <w:tcW w:w="667" w:type="dxa"/>
                  <w:tcBorders>
                    <w:tl2br w:val="nil"/>
                    <w:tr2bl w:val="nil"/>
                  </w:tcBorders>
                  <w:vAlign w:val="center"/>
                </w:tcPr>
                <w:p w14:paraId="10535B2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val="en-US" w:eastAsia="zh-CN" w:bidi="ar"/>
                      <w14:textFill>
                        <w14:solidFill>
                          <w14:schemeClr w14:val="tx1"/>
                        </w14:solidFill>
                      </w14:textFill>
                    </w:rPr>
                    <w:t>相符性</w:t>
                  </w:r>
                </w:p>
              </w:tc>
            </w:tr>
            <w:tr w14:paraId="5774C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06D0927C">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6030" w:type="dxa"/>
                  <w:tcBorders>
                    <w:tl2br w:val="nil"/>
                    <w:tr2bl w:val="nil"/>
                  </w:tcBorders>
                  <w:vAlign w:val="center"/>
                </w:tcPr>
                <w:p w14:paraId="494987D4">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落实规划环评要求。</w:t>
                  </w:r>
                  <w:r>
                    <w:rPr>
                      <w:rFonts w:hint="default" w:ascii="Times New Roman" w:hAnsi="Times New Roman" w:eastAsia="宋体" w:cs="Times New Roman"/>
                      <w:color w:val="000000" w:themeColor="text1"/>
                      <w:sz w:val="18"/>
                      <w:szCs w:val="18"/>
                      <w:highlight w:val="none"/>
                      <w14:textFill>
                        <w14:solidFill>
                          <w14:schemeClr w14:val="tx1"/>
                        </w14:solidFill>
                      </w14:textFill>
                    </w:rPr>
                    <w:t>化工园区规划环评要对本区域内固体废物产生种类、数量及其利用处置方式进行详细分析阐述，明确源头减量总体目标、具体措施，以及补齐区域利用处置能力短板的具体建设项目，力争实现区域内固体废物就近利用处置。</w:t>
                  </w:r>
                </w:p>
              </w:tc>
              <w:tc>
                <w:tcPr>
                  <w:tcW w:w="1530" w:type="dxa"/>
                  <w:tcBorders>
                    <w:tl2br w:val="nil"/>
                    <w:tr2bl w:val="nil"/>
                  </w:tcBorders>
                  <w:shd w:val="clear" w:color="auto" w:fill="auto"/>
                  <w:vAlign w:val="center"/>
                </w:tcPr>
                <w:p w14:paraId="6003A7C1">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本项目危废均委托有资质的单位处置，零排放。</w:t>
                  </w:r>
                </w:p>
              </w:tc>
              <w:tc>
                <w:tcPr>
                  <w:tcW w:w="667" w:type="dxa"/>
                  <w:tcBorders>
                    <w:tl2br w:val="nil"/>
                    <w:tr2bl w:val="nil"/>
                  </w:tcBorders>
                  <w:vAlign w:val="center"/>
                </w:tcPr>
                <w:p w14:paraId="6E4A510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15626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35BA6FD6">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6030" w:type="dxa"/>
                  <w:tcBorders>
                    <w:tl2br w:val="nil"/>
                    <w:tr2bl w:val="nil"/>
                  </w:tcBorders>
                  <w:vAlign w:val="center"/>
                </w:tcPr>
                <w:p w14:paraId="6086128A">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规范项目环评审批。</w:t>
                  </w:r>
                  <w:r>
                    <w:rPr>
                      <w:rFonts w:hint="default" w:ascii="Times New Roman" w:hAnsi="Times New Roman" w:eastAsia="宋体" w:cs="Times New Roman"/>
                      <w:color w:val="000000" w:themeColor="text1"/>
                      <w:sz w:val="18"/>
                      <w:szCs w:val="18"/>
                      <w:highlight w:val="none"/>
                      <w14:textFill>
                        <w14:solidFill>
                          <w14:schemeClr w14:val="tx1"/>
                        </w14:solidFill>
                      </w14:textFill>
                    </w:rPr>
                    <w:t>建设项目环评要评价产生的固体废物种类、数量、来源和属性，论述贮存、转移和利用处置方式合规性、合理性，提出切实可行的污染防治对策措施。所有产物要按照以下五类属性给予明确并规范表述：目标产物（产品、副产品）、鉴别属于产品（符合国家、地方或行业标准）、可定向用于特定用途按产品管理（如符合团体标准）、一般固体废物和危险废物。不得将不符合GB34330、HJ 1091等标准的产物认定为“再生产品”，不得出现“中间产物”“再生产物”等不规范表述，严禁以“副产品”名义逃避监管。不能排除危险特性的固体废物，须在环评文件中明确具体鉴别方案，鉴别前按危险废物管理，鉴别后根据结论按一般固废或危险废物管理。危险废物经营单位项目环评审批要点要与危险废物经营许可审查要求衔接一致。</w:t>
                  </w:r>
                </w:p>
              </w:tc>
              <w:tc>
                <w:tcPr>
                  <w:tcW w:w="1530" w:type="dxa"/>
                  <w:tcBorders>
                    <w:tl2br w:val="nil"/>
                    <w:tr2bl w:val="nil"/>
                  </w:tcBorders>
                  <w:shd w:val="clear" w:color="auto" w:fill="auto"/>
                  <w:vAlign w:val="center"/>
                </w:tcPr>
                <w:p w14:paraId="6F94561F">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本项目已按要求</w:t>
                  </w:r>
                  <w:r>
                    <w:rPr>
                      <w:rFonts w:hint="default" w:ascii="Times New Roman" w:hAnsi="Times New Roman" w:eastAsia="宋体" w:cs="Times New Roman"/>
                      <w:color w:val="000000" w:themeColor="text1"/>
                      <w:sz w:val="18"/>
                      <w:szCs w:val="18"/>
                      <w:highlight w:val="none"/>
                      <w14:textFill>
                        <w14:solidFill>
                          <w14:schemeClr w14:val="tx1"/>
                        </w14:solidFill>
                      </w14:textFill>
                    </w:rPr>
                    <w:t>评价产生的固体废物种类、数量、来源和属性，论述贮存、转移和利用处置方式合规性、合理性，提出切实可行的污染防治对策措施。</w:t>
                  </w:r>
                </w:p>
              </w:tc>
              <w:tc>
                <w:tcPr>
                  <w:tcW w:w="667" w:type="dxa"/>
                  <w:tcBorders>
                    <w:tl2br w:val="nil"/>
                    <w:tr2bl w:val="nil"/>
                  </w:tcBorders>
                  <w:vAlign w:val="center"/>
                </w:tcPr>
                <w:p w14:paraId="518CE0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0F661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20D8BCB1">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6030" w:type="dxa"/>
                  <w:tcBorders>
                    <w:tl2br w:val="nil"/>
                    <w:tr2bl w:val="nil"/>
                  </w:tcBorders>
                  <w:vAlign w:val="center"/>
                </w:tcPr>
                <w:p w14:paraId="70D12515">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落实排污许可制度。</w:t>
                  </w:r>
                  <w:r>
                    <w:rPr>
                      <w:rFonts w:hint="default" w:ascii="Times New Roman" w:hAnsi="Times New Roman" w:eastAsia="宋体" w:cs="Times New Roman"/>
                      <w:color w:val="000000" w:themeColor="text1"/>
                      <w:sz w:val="18"/>
                      <w:szCs w:val="18"/>
                      <w:highlight w:val="none"/>
                      <w14:textFill>
                        <w14:solidFill>
                          <w14:schemeClr w14:val="tx1"/>
                        </w14:solidFill>
                      </w14:textFill>
                    </w:rPr>
                    <w:t>企业要在排污许可管理系统中全面、准确申报工业固体废物产生种类，以及贮存设施和利用处置等相关情况，并对其真实性负责。实际产生、转移、贮存和利用处置情况对照项目环评发生变动的，要根据变动情况及时采取重新报批环评、纳入环境保护竣工验收等手续，并及时变更排污许可。</w:t>
                  </w:r>
                </w:p>
              </w:tc>
              <w:tc>
                <w:tcPr>
                  <w:tcW w:w="1530" w:type="dxa"/>
                  <w:tcBorders>
                    <w:tl2br w:val="nil"/>
                    <w:tr2bl w:val="nil"/>
                  </w:tcBorders>
                  <w:shd w:val="clear" w:color="auto" w:fill="auto"/>
                  <w:vAlign w:val="center"/>
                </w:tcPr>
                <w:p w14:paraId="02D9EF85">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本项目建设完成后落实排污许可制度。</w:t>
                  </w:r>
                </w:p>
              </w:tc>
              <w:tc>
                <w:tcPr>
                  <w:tcW w:w="667" w:type="dxa"/>
                  <w:tcBorders>
                    <w:tl2br w:val="nil"/>
                    <w:tr2bl w:val="nil"/>
                  </w:tcBorders>
                  <w:vAlign w:val="center"/>
                </w:tcPr>
                <w:p w14:paraId="065DDA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3857D7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488424D4">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4</w:t>
                  </w:r>
                </w:p>
              </w:tc>
              <w:tc>
                <w:tcPr>
                  <w:tcW w:w="6030" w:type="dxa"/>
                  <w:tcBorders>
                    <w:tl2br w:val="nil"/>
                    <w:tr2bl w:val="nil"/>
                  </w:tcBorders>
                  <w:vAlign w:val="center"/>
                </w:tcPr>
                <w:p w14:paraId="76BC67C0">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规范危废经营许可。</w:t>
                  </w:r>
                  <w:r>
                    <w:rPr>
                      <w:rFonts w:hint="default" w:ascii="Times New Roman" w:hAnsi="Times New Roman" w:eastAsia="宋体" w:cs="Times New Roman"/>
                      <w:color w:val="000000" w:themeColor="text1"/>
                      <w:sz w:val="18"/>
                      <w:szCs w:val="18"/>
                      <w:highlight w:val="none"/>
                      <w14:textFill>
                        <w14:solidFill>
                          <w14:schemeClr w14:val="tx1"/>
                        </w14:solidFill>
                      </w14:textFill>
                    </w:rPr>
                    <w:t>核准危险废物经营许可时，应当符合经营单位建设项目环评和排污许可要求，并重点审查经营单位分析检测能力、贮存管理和产物去向等情况。许可证上应载明核准利用处置的危险废物类别并附带相应文字说明，许可条件中应明确违反后需采取的相应惩戒措施。</w:t>
                  </w:r>
                </w:p>
              </w:tc>
              <w:tc>
                <w:tcPr>
                  <w:tcW w:w="1530" w:type="dxa"/>
                  <w:tcBorders>
                    <w:tl2br w:val="nil"/>
                    <w:tr2bl w:val="nil"/>
                  </w:tcBorders>
                  <w:shd w:val="clear" w:color="auto" w:fill="auto"/>
                  <w:vAlign w:val="center"/>
                </w:tcPr>
                <w:p w14:paraId="689EA569">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本项目危废处置单位</w:t>
                  </w:r>
                  <w:r>
                    <w:rPr>
                      <w:rFonts w:hint="default" w:ascii="Times New Roman" w:hAnsi="Times New Roman" w:eastAsia="宋体" w:cs="Times New Roman"/>
                      <w:color w:val="000000" w:themeColor="text1"/>
                      <w:sz w:val="18"/>
                      <w:szCs w:val="18"/>
                      <w:highlight w:val="none"/>
                      <w14:textFill>
                        <w14:solidFill>
                          <w14:schemeClr w14:val="tx1"/>
                        </w14:solidFill>
                      </w14:textFill>
                    </w:rPr>
                    <w:t>符合经营许可和排污许可要求。</w:t>
                  </w:r>
                </w:p>
              </w:tc>
              <w:tc>
                <w:tcPr>
                  <w:tcW w:w="667" w:type="dxa"/>
                  <w:tcBorders>
                    <w:tl2br w:val="nil"/>
                    <w:tr2bl w:val="nil"/>
                  </w:tcBorders>
                  <w:vAlign w:val="center"/>
                </w:tcPr>
                <w:p w14:paraId="243DB1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60C1C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1D4395F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5</w:t>
                  </w:r>
                </w:p>
              </w:tc>
              <w:tc>
                <w:tcPr>
                  <w:tcW w:w="6030" w:type="dxa"/>
                  <w:tcBorders>
                    <w:tl2br w:val="nil"/>
                    <w:tr2bl w:val="nil"/>
                  </w:tcBorders>
                  <w:vAlign w:val="center"/>
                </w:tcPr>
                <w:p w14:paraId="4D610163">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规范贮存管理要求。</w:t>
                  </w:r>
                  <w:r>
                    <w:rPr>
                      <w:rFonts w:hint="default" w:ascii="Times New Roman" w:hAnsi="Times New Roman" w:eastAsia="宋体" w:cs="Times New Roman"/>
                      <w:color w:val="000000" w:themeColor="text1"/>
                      <w:sz w:val="18"/>
                      <w:szCs w:val="18"/>
                      <w:highlight w:val="none"/>
                      <w14:textFill>
                        <w14:solidFill>
                          <w14:schemeClr w14:val="tx1"/>
                        </w14:solidFill>
                      </w14:textFill>
                    </w:rPr>
                    <w:t>根据《危险废物贮存污染控制标准》（GB 18597—2023），企业可根据实际情况选择采用危险废物贮存设施或贮存点两类方式进行贮存，符合相应的污染控制标准；不具备建设贮存设施条件、选用贮存点方式的，除符合国家关于贮存点控制要求外，还要执行《江苏省危险废物集中收集体系建设工作方案（试行）》（苏环办〔2021〕290号）中关于贮存周期和贮存量的要求，I级、Ⅱ级、Ⅲ级危险废物贮存时间分别不得超过30天、60天、90天，最大贮存量不得超过1吨。</w:t>
                  </w:r>
                </w:p>
              </w:tc>
              <w:tc>
                <w:tcPr>
                  <w:tcW w:w="1530" w:type="dxa"/>
                  <w:tcBorders>
                    <w:tl2br w:val="nil"/>
                    <w:tr2bl w:val="nil"/>
                  </w:tcBorders>
                  <w:shd w:val="clear" w:color="auto" w:fill="auto"/>
                  <w:vAlign w:val="center"/>
                </w:tcPr>
                <w:p w14:paraId="634D83CB">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w:t>
                  </w:r>
                  <w:r>
                    <w:rPr>
                      <w:rFonts w:hint="default" w:ascii="Times New Roman" w:hAnsi="Times New Roman" w:eastAsia="宋体" w:cs="Times New Roman"/>
                      <w:color w:val="000000" w:themeColor="text1"/>
                      <w:sz w:val="18"/>
                      <w:szCs w:val="18"/>
                      <w:highlight w:val="none"/>
                      <w:lang w:val="en-US" w:eastAsia="zh-CN" w:bidi="ar"/>
                      <w14:textFill>
                        <w14:solidFill>
                          <w14:schemeClr w14:val="tx1"/>
                        </w14:solidFill>
                      </w14:textFill>
                    </w:rPr>
                    <w:t>依托厂内现有危废仓库。</w:t>
                  </w:r>
                </w:p>
              </w:tc>
              <w:tc>
                <w:tcPr>
                  <w:tcW w:w="667" w:type="dxa"/>
                  <w:tcBorders>
                    <w:tl2br w:val="nil"/>
                    <w:tr2bl w:val="nil"/>
                  </w:tcBorders>
                  <w:vAlign w:val="center"/>
                </w:tcPr>
                <w:p w14:paraId="148210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7727A4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42D4581E">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6</w:t>
                  </w:r>
                </w:p>
              </w:tc>
              <w:tc>
                <w:tcPr>
                  <w:tcW w:w="6030" w:type="dxa"/>
                  <w:tcBorders>
                    <w:tl2br w:val="nil"/>
                    <w:tr2bl w:val="nil"/>
                  </w:tcBorders>
                  <w:vAlign w:val="center"/>
                </w:tcPr>
                <w:p w14:paraId="5ED72651">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强化转移过程管理。</w:t>
                  </w:r>
                  <w:r>
                    <w:rPr>
                      <w:rFonts w:hint="default" w:ascii="Times New Roman" w:hAnsi="Times New Roman" w:eastAsia="宋体" w:cs="Times New Roman"/>
                      <w:color w:val="000000" w:themeColor="text1"/>
                      <w:sz w:val="18"/>
                      <w:szCs w:val="18"/>
                      <w:highlight w:val="none"/>
                      <w14:textFill>
                        <w14:solidFill>
                          <w14:schemeClr w14:val="tx1"/>
                        </w14:solidFill>
                      </w14:textFill>
                    </w:rPr>
                    <w:t>全面落实危险废物转移电子联单制度，实行省内全域扫描“二维码”转移。加强与危险货物道路运输电子运单数据共享，实现运输轨迹可溯可查。危险废物产生单位须依法核实经营单位主体资格和技术能力，直接签订委托合同，并向经营单位提供相关危险废物产生工艺、具体成分，以及是否易燃易爆等信息，违法委托的，应当与造成环境污染和生态破坏的受托方承担连带责任；经营单位须按合同及包装物扫码签收危险废物，签收人、车辆信息等须拍照上传至系统，严禁“空转”二维码。积极推行一般工业固体废物转移电子联单制度，优先选择环境风险较大的污泥、矿渣等固体废物试行。</w:t>
                  </w:r>
                </w:p>
              </w:tc>
              <w:tc>
                <w:tcPr>
                  <w:tcW w:w="1530" w:type="dxa"/>
                  <w:tcBorders>
                    <w:tl2br w:val="nil"/>
                    <w:tr2bl w:val="nil"/>
                  </w:tcBorders>
                  <w:shd w:val="clear" w:color="auto" w:fill="auto"/>
                  <w:vAlign w:val="center"/>
                </w:tcPr>
                <w:p w14:paraId="7AD5C94C">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已与危险废物经营单位签订委托合同，本项目建成后</w:t>
                  </w:r>
                  <w:r>
                    <w:rPr>
                      <w:rFonts w:hint="default" w:ascii="Times New Roman" w:hAnsi="Times New Roman" w:eastAsia="宋体" w:cs="Times New Roman"/>
                      <w:color w:val="000000" w:themeColor="text1"/>
                      <w:sz w:val="18"/>
                      <w:szCs w:val="18"/>
                      <w:highlight w:val="none"/>
                      <w14:textFill>
                        <w14:solidFill>
                          <w14:schemeClr w14:val="tx1"/>
                        </w14:solidFill>
                      </w14:textFill>
                    </w:rPr>
                    <w:t>落实危险废物转移电子联单制度。</w:t>
                  </w:r>
                </w:p>
              </w:tc>
              <w:tc>
                <w:tcPr>
                  <w:tcW w:w="667" w:type="dxa"/>
                  <w:tcBorders>
                    <w:tl2br w:val="nil"/>
                    <w:tr2bl w:val="nil"/>
                  </w:tcBorders>
                  <w:vAlign w:val="center"/>
                </w:tcPr>
                <w:p w14:paraId="3092A5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5865E0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0D5361D1">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7</w:t>
                  </w:r>
                </w:p>
              </w:tc>
              <w:tc>
                <w:tcPr>
                  <w:tcW w:w="6030" w:type="dxa"/>
                  <w:tcBorders>
                    <w:tl2br w:val="nil"/>
                    <w:tr2bl w:val="nil"/>
                  </w:tcBorders>
                  <w:vAlign w:val="center"/>
                </w:tcPr>
                <w:p w14:paraId="3ABFB3E3">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落实信息公开制度。</w:t>
                  </w:r>
                  <w:r>
                    <w:rPr>
                      <w:rFonts w:hint="default" w:ascii="Times New Roman" w:hAnsi="Times New Roman" w:eastAsia="宋体" w:cs="Times New Roman"/>
                      <w:color w:val="000000" w:themeColor="text1"/>
                      <w:sz w:val="18"/>
                      <w:szCs w:val="18"/>
                      <w:highlight w:val="none"/>
                      <w14:textFill>
                        <w14:solidFill>
                          <w14:schemeClr w14:val="tx1"/>
                        </w14:solidFill>
                      </w14:textFill>
                    </w:rPr>
                    <w:t>危险废物环境重点监管单位要在出入口、设施内部、危险废物运输车辆通道等关键位置设置视频监控并与中控室联网，通过设立公开栏、标志牌等方式，主动公开危险废物产生和利用处置等有关信息。集中焚烧处置单位及有自建危废焚烧处置设施的单位要依法及时公开二燃室温度等工况运行指标以及污染物排放指标、浓度等有关信息，并联网至属地生态环境部门。危险废物经营单位应同步公开许可证、许可条件等全文信息。</w:t>
                  </w:r>
                </w:p>
              </w:tc>
              <w:tc>
                <w:tcPr>
                  <w:tcW w:w="1530" w:type="dxa"/>
                  <w:tcBorders>
                    <w:tl2br w:val="nil"/>
                    <w:tr2bl w:val="nil"/>
                  </w:tcBorders>
                  <w:shd w:val="clear" w:color="auto" w:fill="auto"/>
                  <w:vAlign w:val="center"/>
                </w:tcPr>
                <w:p w14:paraId="3CC30BD8">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本项目建成后落实信息公开制度。</w:t>
                  </w:r>
                </w:p>
              </w:tc>
              <w:tc>
                <w:tcPr>
                  <w:tcW w:w="667" w:type="dxa"/>
                  <w:tcBorders>
                    <w:tl2br w:val="nil"/>
                    <w:tr2bl w:val="nil"/>
                  </w:tcBorders>
                  <w:vAlign w:val="center"/>
                </w:tcPr>
                <w:p w14:paraId="30C534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r w14:paraId="388C97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1" w:type="dxa"/>
                  <w:tcBorders>
                    <w:tl2br w:val="nil"/>
                    <w:tr2bl w:val="nil"/>
                  </w:tcBorders>
                  <w:vAlign w:val="center"/>
                </w:tcPr>
                <w:p w14:paraId="5EBF1BCD">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8</w:t>
                  </w:r>
                </w:p>
              </w:tc>
              <w:tc>
                <w:tcPr>
                  <w:tcW w:w="6030" w:type="dxa"/>
                  <w:tcBorders>
                    <w:tl2br w:val="nil"/>
                    <w:tr2bl w:val="nil"/>
                  </w:tcBorders>
                  <w:vAlign w:val="center"/>
                </w:tcPr>
                <w:p w14:paraId="0FFBA669">
                  <w:pPr>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规范一般工业固废管理。</w:t>
                  </w:r>
                  <w:r>
                    <w:rPr>
                      <w:rFonts w:hint="default" w:ascii="Times New Roman" w:hAnsi="Times New Roman" w:eastAsia="宋体" w:cs="Times New Roman"/>
                      <w:color w:val="000000" w:themeColor="text1"/>
                      <w:sz w:val="18"/>
                      <w:szCs w:val="18"/>
                      <w:highlight w:val="none"/>
                      <w14:textFill>
                        <w14:solidFill>
                          <w14:schemeClr w14:val="tx1"/>
                        </w14:solidFill>
                      </w14:textFill>
                    </w:rPr>
                    <w:t>企业需按照《一般工业固体废物管理台账制定指南（试行）》（生态环境部2021年第82号公告）要求，建立一般工业固废台账，污泥、矿渣等同时还需在固废管理信息系统申报，电子台账已有内容，不再另外制作纸质台账。各地要对辖区内一般工业固废利用处置需求和能力进行摸排，建立收运处体系。一般工业固废用于矿山采坑回填和生态恢复的，参照《一般工业固体废物用于矿山采坑回填和生态恢复技术规范》（DB15/T 2763—2022）执行。</w:t>
                  </w:r>
                </w:p>
              </w:tc>
              <w:tc>
                <w:tcPr>
                  <w:tcW w:w="1530" w:type="dxa"/>
                  <w:tcBorders>
                    <w:tl2br w:val="nil"/>
                    <w:tr2bl w:val="nil"/>
                  </w:tcBorders>
                  <w:shd w:val="clear" w:color="auto" w:fill="auto"/>
                  <w:vAlign w:val="center"/>
                </w:tcPr>
                <w:p w14:paraId="18C75214">
                  <w:pPr>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本项目建成后按照</w:t>
                  </w:r>
                  <w:r>
                    <w:rPr>
                      <w:rFonts w:hint="default" w:ascii="Times New Roman" w:hAnsi="Times New Roman" w:eastAsia="宋体" w:cs="Times New Roman"/>
                      <w:color w:val="000000" w:themeColor="text1"/>
                      <w:sz w:val="18"/>
                      <w:szCs w:val="18"/>
                      <w:highlight w:val="none"/>
                      <w14:textFill>
                        <w14:solidFill>
                          <w14:schemeClr w14:val="tx1"/>
                        </w14:solidFill>
                      </w14:textFill>
                    </w:rPr>
                    <w:t>《一般工业固体废物管理台账制定指南（试行）》的要求进行一般工业固废管理。</w:t>
                  </w:r>
                </w:p>
              </w:tc>
              <w:tc>
                <w:tcPr>
                  <w:tcW w:w="667" w:type="dxa"/>
                  <w:tcBorders>
                    <w:tl2br w:val="nil"/>
                    <w:tr2bl w:val="nil"/>
                  </w:tcBorders>
                  <w:vAlign w:val="center"/>
                </w:tcPr>
                <w:p w14:paraId="0DD36E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相符</w:t>
                  </w:r>
                </w:p>
              </w:tc>
            </w:tr>
          </w:tbl>
          <w:p w14:paraId="37F50A4F">
            <w:pPr>
              <w:pStyle w:val="2"/>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bl>
    <w:p w14:paraId="45C59BA2">
      <w:pPr>
        <w:pStyle w:val="33"/>
        <w:numPr>
          <w:ilvl w:val="0"/>
          <w:numId w:val="4"/>
        </w:numPr>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建设项目工程分析</w:t>
      </w:r>
    </w:p>
    <w:p w14:paraId="7FE9BEE7">
      <w:pPr>
        <w:pStyle w:val="33"/>
        <w:jc w:val="both"/>
        <w:rPr>
          <w:rFonts w:hint="default" w:ascii="Times New Roman" w:hAnsi="Times New Roman" w:eastAsia="宋体" w:cs="Times New Roman"/>
          <w:snapToGrid w:val="0"/>
          <w:color w:val="000000" w:themeColor="text1"/>
          <w:sz w:val="36"/>
          <w:szCs w:val="36"/>
          <w:highlight w:val="none"/>
          <w14:textFill>
            <w14:solidFill>
              <w14:schemeClr w14:val="tx1"/>
            </w14:solidFill>
          </w14:textFill>
        </w:rPr>
      </w:pPr>
    </w:p>
    <w:tbl>
      <w:tblPr>
        <w:tblStyle w:val="36"/>
        <w:tblW w:w="914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23"/>
        <w:gridCol w:w="8322"/>
      </w:tblGrid>
      <w:tr w14:paraId="0E6AED4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3010" w:hRule="atLeast"/>
          <w:jc w:val="center"/>
        </w:trPr>
        <w:tc>
          <w:tcPr>
            <w:tcW w:w="823" w:type="dxa"/>
            <w:tcBorders>
              <w:tl2br w:val="nil"/>
              <w:tr2bl w:val="nil"/>
            </w:tcBorders>
            <w:vAlign w:val="center"/>
          </w:tcPr>
          <w:p w14:paraId="5BEC88FC">
            <w:pPr>
              <w:adjustRightInd w:val="0"/>
              <w:snapToGri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702D080A">
            <w:pPr>
              <w:pStyle w:val="33"/>
              <w:adjustRightInd w:val="0"/>
              <w:snapToGrid w:val="0"/>
              <w:spacing w:before="0" w:beforeAutospacing="0" w:after="0" w:afterAutospacing="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FC7D1DE">
            <w:pPr>
              <w:pStyle w:val="33"/>
              <w:adjustRightInd w:val="0"/>
              <w:snapToGrid w:val="0"/>
              <w:spacing w:before="0" w:beforeAutospacing="0" w:after="0" w:afterAutospacing="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322" w:type="dxa"/>
            <w:tcBorders>
              <w:tl2br w:val="nil"/>
              <w:tr2bl w:val="nil"/>
            </w:tcBorders>
          </w:tcPr>
          <w:p w14:paraId="7CD29E36">
            <w:pPr>
              <w:adjustRightInd w:val="0"/>
              <w:snapToGrid w:val="0"/>
              <w:spacing w:line="480" w:lineRule="exact"/>
              <w:ind w:firstLine="422"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1、项目由来</w:t>
            </w:r>
            <w:r>
              <w:rPr>
                <w:rFonts w:hint="default" w:ascii="Times New Roman" w:hAnsi="Times New Roman" w:eastAsia="宋体" w:cs="Times New Roman"/>
                <w:bCs/>
                <w:color w:val="000000" w:themeColor="text1"/>
                <w:szCs w:val="21"/>
                <w:highlight w:val="none"/>
                <w14:textFill>
                  <w14:solidFill>
                    <w14:schemeClr w14:val="tx1"/>
                  </w14:solidFill>
                </w14:textFill>
              </w:rPr>
              <w:t>：</w:t>
            </w:r>
          </w:p>
          <w:p w14:paraId="5695EDA7">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江苏华电吴江热电有限公司（</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原名：中国华电集团公司江苏分公司，后文简称：吴江热电</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）位于</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吴江区</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平望镇平运路39号，于20</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09</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年编制了“2x180MW级燃机热电联产工程环境影响报告书”，</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取得江苏省环保厅批复（苏环审【2009】163号），并于2015年6月通过江苏省环保厅的验收（苏环验【2015】87号）；于2017年编制了“集中供热系统生产技术改造项目环境影响报告表”（</w:t>
            </w:r>
            <w:r>
              <w:rPr>
                <w:rFonts w:hint="eastAsia" w:cs="Times New Roman"/>
                <w:bCs/>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1台 50t/h 的燃气锅炉作为备用锅炉），取得苏州市吴江区生态环境局批复（吴环建</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2017]464号），并于2024年5月通过企业自主验收</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p>
          <w:p w14:paraId="5BFC697F">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吴江热电</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目前</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热力管网有南线和西线两条主管。南线热网管道主要向平望地区供热，已建成热网约21公里，覆盖了平望大部分地区；西线热网管道主要供往梅堰地区，已建成热网约19公里。</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吴江热电</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现有的两套9E</w:t>
            </w:r>
            <w:r>
              <w:rPr>
                <w:rFonts w:hint="eastAsia" w:cs="Times New Roman"/>
                <w:bCs/>
                <w:color w:val="000000" w:themeColor="text1"/>
                <w:szCs w:val="21"/>
                <w:highlight w:val="none"/>
                <w:lang w:val="en-US" w:eastAsia="zh-CN"/>
                <w14:textFill>
                  <w14:solidFill>
                    <w14:schemeClr w14:val="tx1"/>
                  </w14:solidFill>
                </w14:textFill>
              </w:rPr>
              <w:t>燃气-蒸汽</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联合循环机组</w:t>
            </w:r>
            <w:r>
              <w:rPr>
                <w:rFonts w:hint="eastAsia" w:cs="Times New Roman"/>
                <w:bCs/>
                <w:color w:val="000000" w:themeColor="text1"/>
                <w:szCs w:val="21"/>
                <w:highlight w:val="none"/>
                <w:lang w:val="en-US" w:eastAsia="zh-CN"/>
                <w14:textFill>
                  <w14:solidFill>
                    <w14:schemeClr w14:val="tx1"/>
                  </w14:solidFill>
                </w14:textFill>
              </w:rPr>
              <w:t>及</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 xml:space="preserve"> 1 台50t/h 备用燃气锅炉</w:t>
            </w:r>
            <w:r>
              <w:rPr>
                <w:rFonts w:hint="eastAsia"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年工作时间</w:t>
            </w:r>
            <w:r>
              <w:rPr>
                <w:rFonts w:hint="eastAsia" w:cs="Times New Roman"/>
                <w:bCs/>
                <w:color w:val="000000" w:themeColor="text1"/>
                <w:szCs w:val="21"/>
                <w:highlight w:val="none"/>
                <w:lang w:val="en-US" w:eastAsia="zh-CN"/>
                <w14:textFill>
                  <w14:solidFill>
                    <w14:schemeClr w14:val="tx1"/>
                  </w14:solidFill>
                </w14:textFill>
              </w:rPr>
              <w:t>1200h</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用于机组因检修、停运或瞬时供热量不足时启动应急备用</w:t>
            </w:r>
            <w:r>
              <w:rPr>
                <w:rFonts w:hint="eastAsia"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p>
          <w:p w14:paraId="448553D8">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目前</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现有的两套9E联合循环</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机组受供热及电网调峰的双重影响，机组运行方式、检修等和电网调度存在矛盾</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吴江热电最佳机组检修时间为供热淡季(夏季)，但与电网保电时间相矛盾，无法按供热需求安排机组检修计划，导致机组检修期间供热缺口矛盾始终无法解决。目前供热安全性依靠三联印染厂补充供热来保障，而由于煤价波动、环保因素等情况，在过去几年多次发生三联印染厂停止补充供热的情况，导致供热安全性得不到保障，热用户流失的风险。</w:t>
            </w:r>
          </w:p>
          <w:p w14:paraId="53A92B5B">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目前吴江热电已建设</w:t>
            </w:r>
            <w:r>
              <w:rPr>
                <w:rFonts w:hint="eastAsia" w:cs="Times New Roman"/>
                <w:bCs/>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台50t/h的</w:t>
            </w:r>
            <w:r>
              <w:rPr>
                <w:rFonts w:hint="eastAsia" w:cs="Times New Roman"/>
                <w:bCs/>
                <w:color w:val="000000" w:themeColor="text1"/>
                <w:szCs w:val="21"/>
                <w:highlight w:val="none"/>
                <w:lang w:val="en-US" w:eastAsia="zh-CN"/>
                <w14:textFill>
                  <w14:solidFill>
                    <w14:schemeClr w14:val="tx1"/>
                  </w14:solidFill>
                </w14:textFill>
              </w:rPr>
              <w:t>备用</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燃气锅炉，解决了一台机组检修期间的供热缺口，以及春节期间部分企业用汽的需求，也可以完全摆脱对三联印染厂供热安全性的依赖，但随着现有“两部制”电价政策机制的调整，今后吴江热电全年需要3个月</w:t>
            </w:r>
            <w:r>
              <w:rPr>
                <w:rFonts w:hint="eastAsia" w:cs="Times New Roman"/>
                <w:bCs/>
                <w:color w:val="000000" w:themeColor="text1"/>
                <w:szCs w:val="21"/>
                <w:highlight w:val="none"/>
                <w:lang w:val="en-US" w:eastAsia="zh-CN"/>
                <w14:textFill>
                  <w14:solidFill>
                    <w14:schemeClr w14:val="tx1"/>
                  </w14:solidFill>
                </w14:textFill>
              </w:rPr>
              <w:t>两台</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机组全停。根据现有平均热负荷 142. 1t/h，在</w:t>
            </w:r>
            <w:r>
              <w:rPr>
                <w:rFonts w:hint="eastAsia" w:cs="Times New Roman"/>
                <w:bCs/>
                <w:color w:val="000000" w:themeColor="text1"/>
                <w:szCs w:val="21"/>
                <w:highlight w:val="none"/>
                <w:lang w:val="en-US" w:eastAsia="zh-CN"/>
                <w14:textFill>
                  <w14:solidFill>
                    <w14:schemeClr w14:val="tx1"/>
                  </w14:solidFill>
                </w14:textFill>
              </w:rPr>
              <w:t>两台</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机组全停的3个月时间内，除去现有1台50t/h 的备用燃气锅炉的供热外，仍有 92. 1t/h的供热缺口。故本次拟投资3500</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万元，</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在现有厂区内</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 xml:space="preserve">新增 1 套 </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100</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t/h 燃气蒸汽</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备用锅炉</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及其配套设施， 以满足</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现有两套</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机组全停时的供热需求。</w:t>
            </w:r>
          </w:p>
          <w:p w14:paraId="64FFB55A">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本</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 xml:space="preserve">项目占地面积 </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971.4</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m</w:t>
            </w:r>
            <w:r>
              <w:rPr>
                <w:rFonts w:hint="default" w:ascii="Times New Roman" w:hAnsi="Times New Roman" w:eastAsia="宋体" w:cs="Times New Roman"/>
                <w:bCs/>
                <w:color w:val="000000" w:themeColor="text1"/>
                <w:szCs w:val="21"/>
                <w:highlight w:val="none"/>
                <w:vertAlign w:val="superscript"/>
                <w:lang w:eastAsia="zh-CN"/>
                <w14:textFill>
                  <w14:solidFill>
                    <w14:schemeClr w14:val="tx1"/>
                  </w14:solidFill>
                </w14:textFill>
              </w:rPr>
              <w:t>2</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仅作为备用锅炉使用，</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主要填补现有项目</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两套机组全</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停机时的供热空缺，年设计运行按照</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3个月（3*30*24=2160</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小时</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考虑，年供蒸汽</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64.55</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 xml:space="preserve"> GJ。项目建成后全厂生产规模维持在供热量</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480.2</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万 GJ</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/a不变，</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发电量</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减少至13.13亿kWh/a</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p>
          <w:p w14:paraId="2FFD78E4">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202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年0</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月</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0</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9日江苏华电吴江热电有限公司向苏州市吴江区</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平望</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镇人民政府提交申请并获得备案（备案证号</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平</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政备[202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7</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号）。根据《建设项目环境影响评价分类管理名录》（2021年版），本期项目属“四十一、电力、热力生产和供应业‘热力生产和供应工程（包括建设单位自建自用的供热工程）’中‘天然气锅炉总容量1t/h（0.7 兆瓦）以上的’”，应编制报告表。因此，建设单位委托我单位（苏州清泉环保科技有限公司）进行该项目的环评工作，接受委托后，我单位立即组织评价小组，赴现场踏勘，调研有关文件，进行工程分析</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和</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环境影响识别，在此基础上编制了该项目的环境影响评价报告表。</w:t>
            </w:r>
          </w:p>
          <w:p w14:paraId="1821D8DA">
            <w:pPr>
              <w:adjustRightInd w:val="0"/>
              <w:snapToGrid w:val="0"/>
              <w:spacing w:line="48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2、项目概况：</w:t>
            </w:r>
          </w:p>
          <w:p w14:paraId="6EF3A931">
            <w:pPr>
              <w:adjustRightInd w:val="0"/>
              <w:snapToGrid w:val="0"/>
              <w:spacing w:line="44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项目名称：</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江苏华电吴江热电有限公司</w:t>
            </w:r>
            <w:r>
              <w:rPr>
                <w:rFonts w:hint="eastAsia" w:cs="Times New Roman"/>
                <w:bCs/>
                <w:color w:val="000000" w:themeColor="text1"/>
                <w:szCs w:val="21"/>
                <w:highlight w:val="none"/>
                <w:lang w:eastAsia="zh-CN"/>
                <w14:textFill>
                  <w14:solidFill>
                    <w14:schemeClr w14:val="tx1"/>
                  </w14:solidFill>
                </w14:textFill>
              </w:rPr>
              <w:t>天然气锅炉改造项目</w:t>
            </w:r>
            <w:r>
              <w:rPr>
                <w:rFonts w:hint="default" w:ascii="Times New Roman" w:hAnsi="Times New Roman" w:eastAsia="宋体" w:cs="Times New Roman"/>
                <w:bCs/>
                <w:color w:val="000000" w:themeColor="text1"/>
                <w:szCs w:val="21"/>
                <w:highlight w:val="none"/>
                <w14:textFill>
                  <w14:solidFill>
                    <w14:schemeClr w14:val="tx1"/>
                  </w14:solidFill>
                </w14:textFill>
              </w:rPr>
              <w:t>（</w:t>
            </w:r>
            <w:r>
              <w:rPr>
                <w:rFonts w:hint="eastAsia" w:cs="Times New Roman"/>
                <w:color w:val="000000" w:themeColor="text1"/>
                <w:szCs w:val="21"/>
                <w:highlight w:val="none"/>
                <w:lang w:eastAsia="zh-CN"/>
                <w14:textFill>
                  <w14:solidFill>
                    <w14:schemeClr w14:val="tx1"/>
                  </w14:solidFill>
                </w14:textFill>
              </w:rPr>
              <w:t>2505-320567-89-02-342108</w:t>
            </w:r>
            <w:r>
              <w:rPr>
                <w:rFonts w:hint="default" w:ascii="Times New Roman" w:hAnsi="Times New Roman" w:eastAsia="宋体" w:cs="Times New Roman"/>
                <w:bCs/>
                <w:color w:val="000000" w:themeColor="text1"/>
                <w:szCs w:val="21"/>
                <w:highlight w:val="none"/>
                <w14:textFill>
                  <w14:solidFill>
                    <w14:schemeClr w14:val="tx1"/>
                  </w14:solidFill>
                </w14:textFill>
              </w:rPr>
              <w:t>）</w:t>
            </w:r>
          </w:p>
          <w:p w14:paraId="13155349">
            <w:pPr>
              <w:adjustRightInd w:val="0"/>
              <w:snapToGrid w:val="0"/>
              <w:spacing w:line="44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建设单位：</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江苏华电吴江热电有限公司</w:t>
            </w:r>
          </w:p>
          <w:p w14:paraId="7BD03728">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建设地点：</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江苏省</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苏州市吴江区平望镇平运路39号</w:t>
            </w:r>
          </w:p>
          <w:p w14:paraId="609D2072">
            <w:pPr>
              <w:adjustRightInd w:val="0"/>
              <w:snapToGrid w:val="0"/>
              <w:spacing w:line="440" w:lineRule="exact"/>
              <w:ind w:firstLine="420" w:firstLineChars="200"/>
              <w:jc w:val="left"/>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建设性质：</w:t>
            </w:r>
            <w:r>
              <w:rPr>
                <w:rFonts w:hint="eastAsia" w:cs="Times New Roman"/>
                <w:bCs/>
                <w:color w:val="000000" w:themeColor="text1"/>
                <w:szCs w:val="21"/>
                <w:highlight w:val="none"/>
                <w:lang w:val="en-US" w:eastAsia="zh-CN"/>
                <w14:textFill>
                  <w14:solidFill>
                    <w14:schemeClr w14:val="tx1"/>
                  </w14:solidFill>
                </w14:textFill>
              </w:rPr>
              <w:t>改建</w:t>
            </w:r>
          </w:p>
          <w:p w14:paraId="2649B144">
            <w:pPr>
              <w:adjustRightInd w:val="0"/>
              <w:snapToGrid w:val="0"/>
              <w:spacing w:line="44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建设规模及内容：</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在现有厂区内</w:t>
            </w:r>
            <w:r>
              <w:rPr>
                <w:rFonts w:hint="eastAsia" w:cs="Times New Roman"/>
                <w:bCs/>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bCs/>
                <w:color w:val="000000" w:themeColor="text1"/>
                <w:szCs w:val="21"/>
                <w:highlight w:val="none"/>
                <w14:textFill>
                  <w14:solidFill>
                    <w14:schemeClr w14:val="tx1"/>
                  </w14:solidFill>
                </w14:textFill>
              </w:rPr>
              <w:t>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台100t/h</w:t>
            </w:r>
            <w:r>
              <w:rPr>
                <w:rFonts w:hint="default" w:ascii="Times New Roman" w:hAnsi="Times New Roman" w:eastAsia="宋体" w:cs="Times New Roman"/>
                <w:bCs/>
                <w:color w:val="000000" w:themeColor="text1"/>
                <w:szCs w:val="21"/>
                <w:highlight w:val="none"/>
                <w14:textFill>
                  <w14:solidFill>
                    <w14:schemeClr w14:val="tx1"/>
                  </w14:solidFill>
                </w14:textFill>
              </w:rPr>
              <w:t>天然气</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备用</w:t>
            </w:r>
            <w:r>
              <w:rPr>
                <w:rFonts w:hint="default" w:ascii="Times New Roman" w:hAnsi="Times New Roman" w:eastAsia="宋体" w:cs="Times New Roman"/>
                <w:bCs/>
                <w:color w:val="000000" w:themeColor="text1"/>
                <w:szCs w:val="21"/>
                <w:highlight w:val="none"/>
                <w14:textFill>
                  <w14:solidFill>
                    <w14:schemeClr w14:val="tx1"/>
                  </w14:solidFill>
                </w14:textFill>
              </w:rPr>
              <w:t>锅炉</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及其配套</w:t>
            </w:r>
            <w:r>
              <w:rPr>
                <w:rFonts w:hint="default" w:ascii="Times New Roman" w:hAnsi="Times New Roman" w:eastAsia="宋体" w:cs="Times New Roman"/>
                <w:bCs/>
                <w:color w:val="000000" w:themeColor="text1"/>
                <w:szCs w:val="21"/>
                <w:highlight w:val="none"/>
                <w14:textFill>
                  <w14:solidFill>
                    <w14:schemeClr w14:val="tx1"/>
                  </w14:solidFill>
                </w14:textFill>
              </w:rPr>
              <w:t>设备</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年运行时间90天（2160h）</w:t>
            </w:r>
            <w:r>
              <w:rPr>
                <w:rFonts w:hint="default" w:ascii="Times New Roman" w:hAnsi="Times New Roman" w:eastAsia="宋体" w:cs="Times New Roman"/>
                <w:bCs/>
                <w:color w:val="000000" w:themeColor="text1"/>
                <w:szCs w:val="21"/>
                <w:highlight w:val="none"/>
                <w14:textFill>
                  <w14:solidFill>
                    <w14:schemeClr w14:val="tx1"/>
                  </w14:solidFill>
                </w14:textFill>
              </w:rPr>
              <w:t>。</w:t>
            </w:r>
          </w:p>
          <w:p w14:paraId="55B55EE1">
            <w:pPr>
              <w:adjustRightInd w:val="0"/>
              <w:snapToGrid w:val="0"/>
              <w:spacing w:line="44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 xml:space="preserve"> 3、 原辅材料及燃料种类用量</w:t>
            </w:r>
          </w:p>
          <w:p w14:paraId="20D8C6E9">
            <w:pPr>
              <w:adjustRightInd w:val="0"/>
              <w:snapToGrid w:val="0"/>
              <w:spacing w:line="44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 xml:space="preserve">  本期项目主要原辅料耗量及能源消耗情况见下表：</w:t>
            </w:r>
          </w:p>
          <w:p w14:paraId="2B402B1E">
            <w:pPr>
              <w:adjustRightInd w:val="0"/>
              <w:snapToGrid w:val="0"/>
              <w:spacing w:line="480" w:lineRule="exact"/>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表2-1    主要原辅料、能源用量表</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Layout w:type="fixed"/>
              <w:tblCellMar>
                <w:top w:w="0" w:type="dxa"/>
                <w:left w:w="108" w:type="dxa"/>
                <w:bottom w:w="0" w:type="dxa"/>
                <w:right w:w="108" w:type="dxa"/>
              </w:tblCellMar>
            </w:tblPr>
            <w:tblGrid>
              <w:gridCol w:w="569"/>
              <w:gridCol w:w="988"/>
              <w:gridCol w:w="1263"/>
              <w:gridCol w:w="984"/>
              <w:gridCol w:w="1404"/>
              <w:gridCol w:w="1548"/>
              <w:gridCol w:w="1321"/>
            </w:tblGrid>
            <w:tr w14:paraId="64EC8E93">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253" w:hRule="atLeast"/>
                <w:jc w:val="center"/>
              </w:trPr>
              <w:tc>
                <w:tcPr>
                  <w:tcW w:w="352" w:type="pct"/>
                  <w:vMerge w:val="restart"/>
                  <w:tcBorders>
                    <w:top w:val="single" w:color="auto" w:sz="12" w:space="0"/>
                  </w:tcBorders>
                  <w:vAlign w:val="center"/>
                </w:tcPr>
                <w:p w14:paraId="6A689C5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序号</w:t>
                  </w:r>
                </w:p>
              </w:tc>
              <w:tc>
                <w:tcPr>
                  <w:tcW w:w="611" w:type="pct"/>
                  <w:vMerge w:val="restart"/>
                  <w:tcBorders>
                    <w:top w:val="single" w:color="auto" w:sz="12" w:space="0"/>
                    <w:right w:val="single" w:color="auto" w:sz="4" w:space="0"/>
                  </w:tcBorders>
                  <w:vAlign w:val="center"/>
                </w:tcPr>
                <w:p w14:paraId="05C7D7F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名称</w:t>
                  </w:r>
                </w:p>
              </w:tc>
              <w:tc>
                <w:tcPr>
                  <w:tcW w:w="782" w:type="pct"/>
                  <w:vMerge w:val="restart"/>
                  <w:tcBorders>
                    <w:top w:val="single" w:color="auto" w:sz="12" w:space="0"/>
                    <w:left w:val="single" w:color="auto" w:sz="4" w:space="0"/>
                  </w:tcBorders>
                  <w:vAlign w:val="center"/>
                </w:tcPr>
                <w:p w14:paraId="20FDE0F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主要组分、规格、指标</w:t>
                  </w:r>
                </w:p>
              </w:tc>
              <w:tc>
                <w:tcPr>
                  <w:tcW w:w="2435" w:type="pct"/>
                  <w:gridSpan w:val="3"/>
                  <w:tcBorders>
                    <w:top w:val="single" w:color="auto" w:sz="12" w:space="0"/>
                  </w:tcBorders>
                  <w:vAlign w:val="center"/>
                </w:tcPr>
                <w:p w14:paraId="31CADBD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年用量</w:t>
                  </w:r>
                </w:p>
              </w:tc>
              <w:tc>
                <w:tcPr>
                  <w:tcW w:w="818" w:type="pct"/>
                  <w:vMerge w:val="restart"/>
                  <w:tcBorders>
                    <w:top w:val="single" w:color="auto" w:sz="12" w:space="0"/>
                  </w:tcBorders>
                  <w:vAlign w:val="center"/>
                </w:tcPr>
                <w:p w14:paraId="43920ACF">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来源</w:t>
                  </w:r>
                </w:p>
              </w:tc>
            </w:tr>
            <w:tr w14:paraId="5F35674A">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276" w:hRule="atLeast"/>
                <w:jc w:val="center"/>
              </w:trPr>
              <w:tc>
                <w:tcPr>
                  <w:tcW w:w="352" w:type="pct"/>
                  <w:vMerge w:val="continue"/>
                  <w:tcBorders>
                    <w:bottom w:val="double" w:color="auto" w:sz="4" w:space="0"/>
                  </w:tcBorders>
                  <w:vAlign w:val="center"/>
                </w:tcPr>
                <w:p w14:paraId="3D9A5EC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11" w:type="pct"/>
                  <w:vMerge w:val="continue"/>
                  <w:tcBorders>
                    <w:bottom w:val="double" w:color="auto" w:sz="4" w:space="0"/>
                    <w:right w:val="single" w:color="auto" w:sz="4" w:space="0"/>
                  </w:tcBorders>
                  <w:vAlign w:val="center"/>
                </w:tcPr>
                <w:p w14:paraId="1134CDAF">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82" w:type="pct"/>
                  <w:vMerge w:val="continue"/>
                  <w:tcBorders>
                    <w:left w:val="single" w:color="auto" w:sz="4" w:space="0"/>
                    <w:bottom w:val="double" w:color="auto" w:sz="4" w:space="0"/>
                  </w:tcBorders>
                  <w:vAlign w:val="center"/>
                </w:tcPr>
                <w:p w14:paraId="514A32A6">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08" w:type="pct"/>
                  <w:tcBorders>
                    <w:bottom w:val="double" w:color="auto" w:sz="4" w:space="0"/>
                    <w:right w:val="single" w:color="auto" w:sz="4" w:space="0"/>
                  </w:tcBorders>
                  <w:vAlign w:val="center"/>
                </w:tcPr>
                <w:p w14:paraId="736EE5A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前</w:t>
                  </w:r>
                </w:p>
              </w:tc>
              <w:tc>
                <w:tcPr>
                  <w:tcW w:w="869" w:type="pct"/>
                  <w:tcBorders>
                    <w:left w:val="single" w:color="auto" w:sz="4" w:space="0"/>
                    <w:bottom w:val="double" w:color="auto" w:sz="4" w:space="0"/>
                  </w:tcBorders>
                  <w:vAlign w:val="center"/>
                </w:tcPr>
                <w:p w14:paraId="76EE6F4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后</w:t>
                  </w:r>
                </w:p>
              </w:tc>
              <w:tc>
                <w:tcPr>
                  <w:tcW w:w="958" w:type="pct"/>
                  <w:tcBorders>
                    <w:left w:val="single" w:color="auto" w:sz="4" w:space="0"/>
                    <w:bottom w:val="double" w:color="auto" w:sz="4" w:space="0"/>
                  </w:tcBorders>
                  <w:vAlign w:val="center"/>
                </w:tcPr>
                <w:p w14:paraId="3CCF17E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变化量</w:t>
                  </w:r>
                </w:p>
              </w:tc>
              <w:tc>
                <w:tcPr>
                  <w:tcW w:w="818" w:type="pct"/>
                  <w:vMerge w:val="continue"/>
                  <w:tcBorders>
                    <w:bottom w:val="double" w:color="auto" w:sz="4" w:space="0"/>
                  </w:tcBorders>
                  <w:vAlign w:val="center"/>
                </w:tcPr>
                <w:p w14:paraId="3F561C6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5F1D0A9E">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270" w:hRule="atLeast"/>
                <w:jc w:val="center"/>
              </w:trPr>
              <w:tc>
                <w:tcPr>
                  <w:tcW w:w="352" w:type="pct"/>
                  <w:tcBorders>
                    <w:top w:val="double" w:color="auto" w:sz="4" w:space="0"/>
                    <w:bottom w:val="single" w:color="auto" w:sz="4" w:space="0"/>
                  </w:tcBorders>
                  <w:vAlign w:val="center"/>
                </w:tcPr>
                <w:p w14:paraId="6EBD5029">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611" w:type="pct"/>
                  <w:tcBorders>
                    <w:top w:val="double" w:color="auto" w:sz="4" w:space="0"/>
                    <w:bottom w:val="single" w:color="auto" w:sz="4" w:space="0"/>
                    <w:right w:val="single" w:color="auto" w:sz="4" w:space="0"/>
                  </w:tcBorders>
                  <w:vAlign w:val="center"/>
                </w:tcPr>
                <w:p w14:paraId="2145D00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新运河水</w:t>
                  </w:r>
                </w:p>
              </w:tc>
              <w:tc>
                <w:tcPr>
                  <w:tcW w:w="782" w:type="pct"/>
                  <w:tcBorders>
                    <w:top w:val="double" w:color="auto" w:sz="4" w:space="0"/>
                    <w:left w:val="single" w:color="auto" w:sz="4" w:space="0"/>
                    <w:bottom w:val="single" w:color="auto" w:sz="4" w:space="0"/>
                  </w:tcBorders>
                  <w:vAlign w:val="center"/>
                </w:tcPr>
                <w:p w14:paraId="66E9370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608" w:type="pct"/>
                  <w:tcBorders>
                    <w:top w:val="double" w:color="auto" w:sz="4" w:space="0"/>
                    <w:bottom w:val="single" w:color="auto" w:sz="4" w:space="0"/>
                    <w:right w:val="single" w:color="auto" w:sz="4" w:space="0"/>
                  </w:tcBorders>
                  <w:vAlign w:val="center"/>
                </w:tcPr>
                <w:p w14:paraId="1D481FBA">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198</w:t>
                  </w: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万吨</w:t>
                  </w:r>
                </w:p>
              </w:tc>
              <w:tc>
                <w:tcPr>
                  <w:tcW w:w="869" w:type="pct"/>
                  <w:tcBorders>
                    <w:top w:val="double" w:color="auto" w:sz="4" w:space="0"/>
                    <w:left w:val="single" w:color="auto" w:sz="4" w:space="0"/>
                    <w:bottom w:val="single" w:color="auto" w:sz="4" w:space="0"/>
                  </w:tcBorders>
                  <w:vAlign w:val="center"/>
                </w:tcPr>
                <w:p w14:paraId="0992ECD6">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198</w:t>
                  </w: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万吨</w:t>
                  </w:r>
                </w:p>
              </w:tc>
              <w:tc>
                <w:tcPr>
                  <w:tcW w:w="958" w:type="pct"/>
                  <w:tcBorders>
                    <w:top w:val="double" w:color="auto" w:sz="4" w:space="0"/>
                    <w:left w:val="single" w:color="auto" w:sz="4" w:space="0"/>
                    <w:bottom w:val="single" w:color="auto" w:sz="4" w:space="0"/>
                  </w:tcBorders>
                  <w:vAlign w:val="center"/>
                </w:tcPr>
                <w:p w14:paraId="5E1A9683">
                  <w:pPr>
                    <w:jc w:val="center"/>
                    <w:rPr>
                      <w:rFonts w:hint="eastAsia"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0</w:t>
                  </w:r>
                </w:p>
              </w:tc>
              <w:tc>
                <w:tcPr>
                  <w:tcW w:w="818" w:type="pct"/>
                  <w:tcBorders>
                    <w:top w:val="double" w:color="auto" w:sz="4" w:space="0"/>
                    <w:bottom w:val="single" w:color="auto" w:sz="4" w:space="0"/>
                  </w:tcBorders>
                  <w:vAlign w:val="center"/>
                </w:tcPr>
                <w:p w14:paraId="77A76CEC">
                  <w:pPr>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新运河</w:t>
                  </w:r>
                </w:p>
              </w:tc>
            </w:tr>
            <w:tr w14:paraId="754A655A">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270" w:hRule="atLeast"/>
                <w:jc w:val="center"/>
              </w:trPr>
              <w:tc>
                <w:tcPr>
                  <w:tcW w:w="352" w:type="pct"/>
                  <w:tcBorders>
                    <w:top w:val="single" w:color="auto" w:sz="4" w:space="0"/>
                    <w:bottom w:val="single" w:color="auto" w:sz="4" w:space="0"/>
                  </w:tcBorders>
                  <w:vAlign w:val="center"/>
                </w:tcPr>
                <w:p w14:paraId="526E3B7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611" w:type="pct"/>
                  <w:tcBorders>
                    <w:top w:val="single" w:color="auto" w:sz="4" w:space="0"/>
                    <w:bottom w:val="single" w:color="auto" w:sz="4" w:space="0"/>
                    <w:right w:val="single" w:color="auto" w:sz="4" w:space="0"/>
                  </w:tcBorders>
                  <w:vAlign w:val="center"/>
                </w:tcPr>
                <w:p w14:paraId="6350ECE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电</w:t>
                  </w:r>
                </w:p>
              </w:tc>
              <w:tc>
                <w:tcPr>
                  <w:tcW w:w="782" w:type="pct"/>
                  <w:tcBorders>
                    <w:top w:val="single" w:color="auto" w:sz="4" w:space="0"/>
                    <w:left w:val="single" w:color="auto" w:sz="4" w:space="0"/>
                    <w:bottom w:val="single" w:color="auto" w:sz="4" w:space="0"/>
                  </w:tcBorders>
                  <w:vAlign w:val="center"/>
                </w:tcPr>
                <w:p w14:paraId="729B0BA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608" w:type="pct"/>
                  <w:tcBorders>
                    <w:top w:val="single" w:color="auto" w:sz="4" w:space="0"/>
                    <w:bottom w:val="single" w:color="auto" w:sz="4" w:space="0"/>
                    <w:right w:val="single" w:color="auto" w:sz="4" w:space="0"/>
                  </w:tcBorders>
                  <w:vAlign w:val="center"/>
                </w:tcPr>
                <w:p w14:paraId="07A5EB4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30000度</w:t>
                  </w:r>
                </w:p>
              </w:tc>
              <w:tc>
                <w:tcPr>
                  <w:tcW w:w="869" w:type="pct"/>
                  <w:tcBorders>
                    <w:top w:val="single" w:color="auto" w:sz="4" w:space="0"/>
                    <w:left w:val="single" w:color="auto" w:sz="4" w:space="0"/>
                    <w:bottom w:val="single" w:color="auto" w:sz="4" w:space="0"/>
                  </w:tcBorders>
                  <w:vAlign w:val="center"/>
                </w:tcPr>
                <w:p w14:paraId="123D81C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30000度</w:t>
                  </w:r>
                </w:p>
              </w:tc>
              <w:tc>
                <w:tcPr>
                  <w:tcW w:w="958" w:type="pct"/>
                  <w:tcBorders>
                    <w:top w:val="single" w:color="auto" w:sz="4" w:space="0"/>
                    <w:left w:val="single" w:color="auto" w:sz="4" w:space="0"/>
                    <w:bottom w:val="single" w:color="auto" w:sz="4" w:space="0"/>
                  </w:tcBorders>
                  <w:vAlign w:val="center"/>
                </w:tcPr>
                <w:p w14:paraId="640105F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818" w:type="pct"/>
                  <w:tcBorders>
                    <w:top w:val="single" w:color="auto" w:sz="4" w:space="0"/>
                    <w:bottom w:val="single" w:color="auto" w:sz="4" w:space="0"/>
                  </w:tcBorders>
                  <w:vAlign w:val="center"/>
                </w:tcPr>
                <w:p w14:paraId="0E91A219">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区域供电网</w:t>
                  </w:r>
                </w:p>
              </w:tc>
            </w:tr>
            <w:tr w14:paraId="180AD819">
              <w:tblPrEx>
                <w:tblBorders>
                  <w:top w:val="single" w:color="auto" w:sz="12" w:space="0"/>
                  <w:left w:val="single" w:color="auto" w:sz="12" w:space="0"/>
                  <w:bottom w:val="single" w:color="auto" w:sz="12" w:space="0"/>
                  <w:right w:val="single" w:color="auto" w:sz="12" w:space="0"/>
                  <w:insideH w:val="single" w:color="auto" w:sz="4" w:space="0"/>
                  <w:insideV w:val="single" w:color="auto" w:sz="2" w:space="0"/>
                </w:tblBorders>
                <w:tblCellMar>
                  <w:top w:w="0" w:type="dxa"/>
                  <w:left w:w="108" w:type="dxa"/>
                  <w:bottom w:w="0" w:type="dxa"/>
                  <w:right w:w="108" w:type="dxa"/>
                </w:tblCellMar>
              </w:tblPrEx>
              <w:trPr>
                <w:trHeight w:val="270" w:hRule="atLeast"/>
                <w:jc w:val="center"/>
              </w:trPr>
              <w:tc>
                <w:tcPr>
                  <w:tcW w:w="352" w:type="pct"/>
                  <w:tcBorders>
                    <w:top w:val="single" w:color="auto" w:sz="4" w:space="0"/>
                    <w:bottom w:val="single" w:color="auto" w:sz="4" w:space="0"/>
                  </w:tcBorders>
                  <w:vAlign w:val="center"/>
                </w:tcPr>
                <w:p w14:paraId="3873459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611" w:type="pct"/>
                  <w:tcBorders>
                    <w:top w:val="single" w:color="auto" w:sz="4" w:space="0"/>
                    <w:bottom w:val="single" w:color="auto" w:sz="4" w:space="0"/>
                    <w:right w:val="single" w:color="auto" w:sz="4" w:space="0"/>
                  </w:tcBorders>
                  <w:vAlign w:val="center"/>
                </w:tcPr>
                <w:p w14:paraId="6575DFB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w:t>
                  </w:r>
                </w:p>
              </w:tc>
              <w:tc>
                <w:tcPr>
                  <w:tcW w:w="782" w:type="pct"/>
                  <w:tcBorders>
                    <w:top w:val="single" w:color="auto" w:sz="4" w:space="0"/>
                    <w:left w:val="single" w:color="auto" w:sz="4" w:space="0"/>
                    <w:bottom w:val="single" w:color="auto" w:sz="4" w:space="0"/>
                  </w:tcBorders>
                  <w:vAlign w:val="center"/>
                </w:tcPr>
                <w:p w14:paraId="56E2DC16">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主要成分为甲烷</w:t>
                  </w:r>
                </w:p>
              </w:tc>
              <w:tc>
                <w:tcPr>
                  <w:tcW w:w="608" w:type="pct"/>
                  <w:tcBorders>
                    <w:top w:val="single" w:color="auto" w:sz="4" w:space="0"/>
                    <w:bottom w:val="single" w:color="auto" w:sz="4" w:space="0"/>
                    <w:right w:val="single" w:color="auto" w:sz="4" w:space="0"/>
                  </w:tcBorders>
                  <w:vAlign w:val="center"/>
                </w:tcPr>
                <w:p w14:paraId="5D37030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46192万</w:t>
                  </w:r>
                  <w:r>
                    <w:rPr>
                      <w:rFonts w:hint="default" w:ascii="Times New Roman" w:hAnsi="Times New Roman" w:eastAsia="宋体" w:cs="Times New Roman"/>
                      <w:color w:val="000000" w:themeColor="text1"/>
                      <w:sz w:val="18"/>
                      <w:szCs w:val="18"/>
                      <w:highlight w:val="none"/>
                      <w14:textFill>
                        <w14:solidFill>
                          <w14:schemeClr w14:val="tx1"/>
                        </w14:solidFill>
                      </w14:textFill>
                    </w:rPr>
                    <w:t>标立方米</w:t>
                  </w:r>
                </w:p>
              </w:tc>
              <w:tc>
                <w:tcPr>
                  <w:tcW w:w="869" w:type="pct"/>
                  <w:tcBorders>
                    <w:top w:val="single" w:color="auto" w:sz="4" w:space="0"/>
                    <w:left w:val="single" w:color="auto" w:sz="4" w:space="0"/>
                    <w:bottom w:val="single" w:color="auto" w:sz="4" w:space="0"/>
                  </w:tcBorders>
                  <w:vAlign w:val="center"/>
                </w:tcPr>
                <w:p w14:paraId="1B2A5D9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46192万</w:t>
                  </w:r>
                  <w:r>
                    <w:rPr>
                      <w:rFonts w:hint="default" w:ascii="Times New Roman" w:hAnsi="Times New Roman" w:eastAsia="宋体" w:cs="Times New Roman"/>
                      <w:color w:val="000000" w:themeColor="text1"/>
                      <w:sz w:val="18"/>
                      <w:szCs w:val="18"/>
                      <w:highlight w:val="none"/>
                      <w14:textFill>
                        <w14:solidFill>
                          <w14:schemeClr w14:val="tx1"/>
                        </w14:solidFill>
                      </w14:textFill>
                    </w:rPr>
                    <w:t>标立方米</w:t>
                  </w:r>
                </w:p>
              </w:tc>
              <w:tc>
                <w:tcPr>
                  <w:tcW w:w="958" w:type="pct"/>
                  <w:tcBorders>
                    <w:top w:val="single" w:color="auto" w:sz="4" w:space="0"/>
                    <w:left w:val="single" w:color="auto" w:sz="4" w:space="0"/>
                    <w:bottom w:val="single" w:color="auto" w:sz="4" w:space="0"/>
                  </w:tcBorders>
                  <w:vAlign w:val="center"/>
                </w:tcPr>
                <w:p w14:paraId="5BE1EEAE">
                  <w:pPr>
                    <w:jc w:val="center"/>
                    <w:rPr>
                      <w:rFonts w:hint="eastAsia"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0</w:t>
                  </w:r>
                </w:p>
              </w:tc>
              <w:tc>
                <w:tcPr>
                  <w:tcW w:w="818" w:type="pct"/>
                  <w:tcBorders>
                    <w:top w:val="single" w:color="auto" w:sz="4" w:space="0"/>
                    <w:bottom w:val="single" w:color="auto" w:sz="4" w:space="0"/>
                  </w:tcBorders>
                  <w:vAlign w:val="center"/>
                </w:tcPr>
                <w:p w14:paraId="5F641390">
                  <w:pPr>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管道运输</w:t>
                  </w:r>
                </w:p>
              </w:tc>
            </w:tr>
          </w:tbl>
          <w:p w14:paraId="6433D708">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26C16827">
            <w:pPr>
              <w:adjustRightInd w:val="0"/>
              <w:snapToGrid w:val="0"/>
              <w:spacing w:line="400" w:lineRule="exact"/>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表2-2   主要原辅材料理化性质</w:t>
            </w:r>
          </w:p>
          <w:tbl>
            <w:tblPr>
              <w:tblStyle w:val="3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408"/>
              <w:gridCol w:w="2677"/>
              <w:gridCol w:w="1966"/>
              <w:gridCol w:w="2021"/>
            </w:tblGrid>
            <w:tr w14:paraId="4E33AE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872" w:type="pct"/>
                  <w:tcBorders>
                    <w:top w:val="single" w:color="auto" w:sz="12" w:space="0"/>
                    <w:bottom w:val="double" w:color="auto" w:sz="4" w:space="0"/>
                  </w:tcBorders>
                  <w:vAlign w:val="center"/>
                </w:tcPr>
                <w:p w14:paraId="55D9E07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名称及分子式</w:t>
                  </w:r>
                </w:p>
              </w:tc>
              <w:tc>
                <w:tcPr>
                  <w:tcW w:w="1658" w:type="pct"/>
                  <w:tcBorders>
                    <w:top w:val="single" w:color="auto" w:sz="12" w:space="0"/>
                    <w:bottom w:val="double" w:color="auto" w:sz="4" w:space="0"/>
                  </w:tcBorders>
                  <w:vAlign w:val="center"/>
                </w:tcPr>
                <w:p w14:paraId="4D4885B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理化特性</w:t>
                  </w:r>
                </w:p>
              </w:tc>
              <w:tc>
                <w:tcPr>
                  <w:tcW w:w="1218" w:type="pct"/>
                  <w:tcBorders>
                    <w:top w:val="single" w:color="auto" w:sz="12" w:space="0"/>
                    <w:bottom w:val="double" w:color="auto" w:sz="4" w:space="0"/>
                  </w:tcBorders>
                  <w:vAlign w:val="center"/>
                </w:tcPr>
                <w:p w14:paraId="5F1E4EE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燃烧爆炸危险性</w:t>
                  </w:r>
                </w:p>
              </w:tc>
              <w:tc>
                <w:tcPr>
                  <w:tcW w:w="1252" w:type="pct"/>
                  <w:tcBorders>
                    <w:top w:val="single" w:color="auto" w:sz="12" w:space="0"/>
                    <w:bottom w:val="double" w:color="auto" w:sz="4" w:space="0"/>
                  </w:tcBorders>
                  <w:vAlign w:val="center"/>
                </w:tcPr>
                <w:p w14:paraId="43A31A7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毒性毒理</w:t>
                  </w:r>
                </w:p>
              </w:tc>
            </w:tr>
            <w:tr w14:paraId="109C56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872" w:type="pct"/>
                  <w:vAlign w:val="center"/>
                </w:tcPr>
                <w:p w14:paraId="212DD0A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w:t>
                  </w:r>
                </w:p>
              </w:tc>
              <w:tc>
                <w:tcPr>
                  <w:tcW w:w="1658" w:type="pct"/>
                  <w:vAlign w:val="center"/>
                </w:tcPr>
                <w:p w14:paraId="60C3D837">
                  <w:pP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主要成分为甲烷，另有少量的乙烷、丙烷和丁烷。其无色、无臭气体，溶于水，遇明火、高热极易燃烧爆炸。</w:t>
                  </w:r>
                </w:p>
              </w:tc>
              <w:tc>
                <w:tcPr>
                  <w:tcW w:w="1218" w:type="pct"/>
                  <w:vAlign w:val="center"/>
                </w:tcPr>
                <w:p w14:paraId="4BD7EAB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易燃易爆</w:t>
                  </w:r>
                </w:p>
              </w:tc>
              <w:tc>
                <w:tcPr>
                  <w:tcW w:w="1252" w:type="pct"/>
                  <w:vAlign w:val="center"/>
                </w:tcPr>
                <w:p w14:paraId="62BFD87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健康危害急性中毒时，可有头昏、头痛、呕吐、乏力甚至昏迷。</w:t>
                  </w:r>
                </w:p>
              </w:tc>
            </w:tr>
          </w:tbl>
          <w:p w14:paraId="162B1C91">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本期项目气源由“西气东输”一线管线提供</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其典型的气质资料和指标分别见表2-</w:t>
            </w:r>
            <w:r>
              <w:rPr>
                <w:rFonts w:hint="eastAsia"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和表2-</w:t>
            </w:r>
            <w:r>
              <w:rPr>
                <w:rFonts w:hint="eastAsia"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。天然气进厂压力约为3.8MPa；天然气气质品质 (包括机械杂质含量、水露点、烃露点、硫化氢含量等) 符合GB 50251的规定。</w:t>
            </w:r>
          </w:p>
          <w:p w14:paraId="6EFAD223">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表2-3   本期项目实际使用天然气</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组分</w:t>
            </w:r>
            <w:r>
              <w:rPr>
                <w:rFonts w:hint="default" w:ascii="Times New Roman" w:hAnsi="Times New Roman" w:eastAsia="宋体" w:cs="Times New Roman"/>
                <w:color w:val="000000" w:themeColor="text1"/>
                <w:sz w:val="21"/>
                <w:szCs w:val="21"/>
                <w:highlight w:val="none"/>
                <w14:textFill>
                  <w14:solidFill>
                    <w14:schemeClr w14:val="tx1"/>
                  </w14:solidFill>
                </w14:textFill>
              </w:rPr>
              <w:t>表</w:t>
            </w:r>
          </w:p>
          <w:tbl>
            <w:tblPr>
              <w:tblStyle w:val="37"/>
              <w:tblW w:w="8030"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fixed"/>
              <w:tblCellMar>
                <w:top w:w="0" w:type="dxa"/>
                <w:left w:w="108" w:type="dxa"/>
                <w:bottom w:w="0" w:type="dxa"/>
                <w:right w:w="108" w:type="dxa"/>
              </w:tblCellMar>
            </w:tblPr>
            <w:tblGrid>
              <w:gridCol w:w="1568"/>
              <w:gridCol w:w="2154"/>
              <w:gridCol w:w="2154"/>
              <w:gridCol w:w="2154"/>
            </w:tblGrid>
            <w:tr w14:paraId="0CBE5959">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1568" w:type="dxa"/>
                  <w:tcBorders>
                    <w:tl2br w:val="nil"/>
                    <w:tr2bl w:val="nil"/>
                  </w:tcBorders>
                  <w:noWrap w:val="0"/>
                  <w:vAlign w:val="center"/>
                </w:tcPr>
                <w:p w14:paraId="42E7B45F">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成分</w:t>
                  </w:r>
                </w:p>
              </w:tc>
              <w:tc>
                <w:tcPr>
                  <w:tcW w:w="2154" w:type="dxa"/>
                  <w:tcBorders>
                    <w:tl2br w:val="nil"/>
                    <w:tr2bl w:val="nil"/>
                  </w:tcBorders>
                  <w:noWrap w:val="0"/>
                  <w:vAlign w:val="center"/>
                </w:tcPr>
                <w:p w14:paraId="77C1BC00">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摩尔数值%</w:t>
                  </w:r>
                </w:p>
              </w:tc>
              <w:tc>
                <w:tcPr>
                  <w:tcW w:w="2154" w:type="dxa"/>
                  <w:tcBorders>
                    <w:tl2br w:val="nil"/>
                    <w:tr2bl w:val="nil"/>
                  </w:tcBorders>
                  <w:noWrap w:val="0"/>
                  <w:vAlign w:val="center"/>
                </w:tcPr>
                <w:p w14:paraId="3F3D8C82">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color w:val="000000" w:themeColor="text1"/>
                      <w:sz w:val="18"/>
                      <w:szCs w:val="18"/>
                      <w:highlight w:val="none"/>
                      <w:vertAlign w:val="baseli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成分</w:t>
                  </w:r>
                </w:p>
              </w:tc>
              <w:tc>
                <w:tcPr>
                  <w:tcW w:w="2154" w:type="dxa"/>
                  <w:tcBorders>
                    <w:tl2br w:val="nil"/>
                    <w:tr2bl w:val="nil"/>
                  </w:tcBorders>
                  <w:noWrap w:val="0"/>
                  <w:vAlign w:val="center"/>
                </w:tcPr>
                <w:p w14:paraId="281D748B">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color w:val="000000" w:themeColor="text1"/>
                      <w:sz w:val="18"/>
                      <w:szCs w:val="18"/>
                      <w:highlight w:val="none"/>
                      <w:vertAlign w:val="baseli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摩尔数值%</w:t>
                  </w:r>
                </w:p>
              </w:tc>
            </w:tr>
            <w:tr w14:paraId="0D01DD6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71" w:hRule="atLeast"/>
                <w:jc w:val="center"/>
              </w:trPr>
              <w:tc>
                <w:tcPr>
                  <w:tcW w:w="1568" w:type="dxa"/>
                  <w:tcBorders>
                    <w:tl2br w:val="nil"/>
                    <w:tr2bl w:val="nil"/>
                  </w:tcBorders>
                  <w:noWrap w:val="0"/>
                  <w:vAlign w:val="center"/>
                </w:tcPr>
                <w:p w14:paraId="75D9C60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4</w:t>
                  </w:r>
                </w:p>
              </w:tc>
              <w:tc>
                <w:tcPr>
                  <w:tcW w:w="2154" w:type="dxa"/>
                  <w:tcBorders>
                    <w:tl2br w:val="nil"/>
                    <w:tr2bl w:val="nil"/>
                  </w:tcBorders>
                  <w:noWrap w:val="0"/>
                  <w:vAlign w:val="center"/>
                </w:tcPr>
                <w:p w14:paraId="376EE9A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97.6</w:t>
                  </w:r>
                </w:p>
              </w:tc>
              <w:tc>
                <w:tcPr>
                  <w:tcW w:w="2154" w:type="dxa"/>
                  <w:tcBorders>
                    <w:tl2br w:val="nil"/>
                    <w:tr2bl w:val="nil"/>
                  </w:tcBorders>
                  <w:noWrap w:val="0"/>
                  <w:vAlign w:val="center"/>
                </w:tcPr>
                <w:p w14:paraId="4A30C4B6">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w:t>
                  </w:r>
                  <w:r>
                    <w:rPr>
                      <w:rStyle w:val="228"/>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6+</w:t>
                  </w:r>
                </w:p>
              </w:tc>
              <w:tc>
                <w:tcPr>
                  <w:tcW w:w="2154" w:type="dxa"/>
                  <w:tcBorders>
                    <w:tl2br w:val="nil"/>
                    <w:tr2bl w:val="nil"/>
                  </w:tcBorders>
                  <w:noWrap w:val="0"/>
                  <w:vAlign w:val="center"/>
                </w:tcPr>
                <w:p w14:paraId="432CF1C0">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0.05</w:t>
                  </w:r>
                </w:p>
              </w:tc>
            </w:tr>
            <w:tr w14:paraId="36232D0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1568" w:type="dxa"/>
                  <w:tcBorders>
                    <w:tl2br w:val="nil"/>
                    <w:tr2bl w:val="nil"/>
                  </w:tcBorders>
                  <w:noWrap w:val="0"/>
                  <w:vAlign w:val="center"/>
                </w:tcPr>
                <w:p w14:paraId="17A94A30">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2</w:t>
                  </w: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6</w:t>
                  </w:r>
                </w:p>
              </w:tc>
              <w:tc>
                <w:tcPr>
                  <w:tcW w:w="2154" w:type="dxa"/>
                  <w:tcBorders>
                    <w:tl2br w:val="nil"/>
                    <w:tr2bl w:val="nil"/>
                  </w:tcBorders>
                  <w:noWrap w:val="0"/>
                  <w:vAlign w:val="center"/>
                </w:tcPr>
                <w:p w14:paraId="6D5B596E">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0.62</w:t>
                  </w:r>
                </w:p>
              </w:tc>
              <w:tc>
                <w:tcPr>
                  <w:tcW w:w="2154" w:type="dxa"/>
                  <w:tcBorders>
                    <w:tl2br w:val="nil"/>
                    <w:tr2bl w:val="nil"/>
                  </w:tcBorders>
                  <w:noWrap w:val="0"/>
                  <w:vAlign w:val="center"/>
                </w:tcPr>
                <w:p w14:paraId="6734A156">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CO</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2</w:t>
                  </w:r>
                </w:p>
              </w:tc>
              <w:tc>
                <w:tcPr>
                  <w:tcW w:w="2154" w:type="dxa"/>
                  <w:tcBorders>
                    <w:tl2br w:val="nil"/>
                    <w:tr2bl w:val="nil"/>
                  </w:tcBorders>
                  <w:noWrap w:val="0"/>
                  <w:vAlign w:val="center"/>
                </w:tcPr>
                <w:p w14:paraId="07AC276D">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0.65</w:t>
                  </w:r>
                </w:p>
              </w:tc>
            </w:tr>
            <w:tr w14:paraId="65E40B7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1568" w:type="dxa"/>
                  <w:tcBorders>
                    <w:tl2br w:val="nil"/>
                    <w:tr2bl w:val="nil"/>
                  </w:tcBorders>
                  <w:noWrap w:val="0"/>
                  <w:vAlign w:val="center"/>
                </w:tcPr>
                <w:p w14:paraId="21909AE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3</w:t>
                  </w: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8</w:t>
                  </w:r>
                </w:p>
              </w:tc>
              <w:tc>
                <w:tcPr>
                  <w:tcW w:w="2154" w:type="dxa"/>
                  <w:tcBorders>
                    <w:tl2br w:val="nil"/>
                    <w:tr2bl w:val="nil"/>
                  </w:tcBorders>
                  <w:noWrap w:val="0"/>
                  <w:vAlign w:val="center"/>
                </w:tcPr>
                <w:p w14:paraId="613538CE">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0.41</w:t>
                  </w:r>
                </w:p>
              </w:tc>
              <w:tc>
                <w:tcPr>
                  <w:tcW w:w="2154" w:type="dxa"/>
                  <w:tcBorders>
                    <w:tl2br w:val="nil"/>
                    <w:tr2bl w:val="nil"/>
                  </w:tcBorders>
                  <w:noWrap w:val="0"/>
                  <w:vAlign w:val="center"/>
                </w:tcPr>
                <w:p w14:paraId="4151B3A1">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N</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2</w:t>
                  </w:r>
                </w:p>
              </w:tc>
              <w:tc>
                <w:tcPr>
                  <w:tcW w:w="2154" w:type="dxa"/>
                  <w:tcBorders>
                    <w:tl2br w:val="nil"/>
                    <w:tr2bl w:val="nil"/>
                  </w:tcBorders>
                  <w:noWrap w:val="0"/>
                  <w:vAlign w:val="center"/>
                </w:tcPr>
                <w:p w14:paraId="1849FE1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0.45</w:t>
                  </w:r>
                </w:p>
              </w:tc>
            </w:tr>
            <w:tr w14:paraId="4AF29A9E">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1568" w:type="dxa"/>
                  <w:tcBorders>
                    <w:tl2br w:val="nil"/>
                    <w:tr2bl w:val="nil"/>
                  </w:tcBorders>
                  <w:noWrap w:val="0"/>
                  <w:vAlign w:val="center"/>
                </w:tcPr>
                <w:p w14:paraId="38858F7B">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4</w:t>
                  </w: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10</w:t>
                  </w:r>
                </w:p>
              </w:tc>
              <w:tc>
                <w:tcPr>
                  <w:tcW w:w="2154" w:type="dxa"/>
                  <w:tcBorders>
                    <w:tl2br w:val="nil"/>
                    <w:tr2bl w:val="nil"/>
                  </w:tcBorders>
                  <w:noWrap w:val="0"/>
                  <w:vAlign w:val="center"/>
                </w:tcPr>
                <w:p w14:paraId="30FC51F3">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0.21</w:t>
                  </w:r>
                </w:p>
              </w:tc>
              <w:tc>
                <w:tcPr>
                  <w:tcW w:w="2154" w:type="dxa"/>
                  <w:tcBorders>
                    <w:tl2br w:val="nil"/>
                    <w:tr2bl w:val="nil"/>
                  </w:tcBorders>
                  <w:noWrap w:val="0"/>
                  <w:vAlign w:val="center"/>
                </w:tcPr>
                <w:p w14:paraId="213B9616">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2</w:t>
                  </w: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S</w:t>
                  </w:r>
                </w:p>
              </w:tc>
              <w:tc>
                <w:tcPr>
                  <w:tcW w:w="2154" w:type="dxa"/>
                  <w:tcBorders>
                    <w:tl2br w:val="nil"/>
                    <w:tr2bl w:val="nil"/>
                  </w:tcBorders>
                  <w:noWrap w:val="0"/>
                  <w:vAlign w:val="center"/>
                </w:tcPr>
                <w:p w14:paraId="722F1E9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0.36mg/m</w:t>
                  </w:r>
                  <w:r>
                    <w:rPr>
                      <w:rStyle w:val="228"/>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3</w:t>
                  </w:r>
                </w:p>
              </w:tc>
            </w:tr>
            <w:tr w14:paraId="2FDC57D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1568" w:type="dxa"/>
                  <w:tcBorders>
                    <w:tl2br w:val="nil"/>
                    <w:tr2bl w:val="nil"/>
                  </w:tcBorders>
                  <w:noWrap w:val="0"/>
                  <w:vAlign w:val="center"/>
                </w:tcPr>
                <w:p w14:paraId="3498DFFD">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C</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5</w:t>
                  </w:r>
                  <w:r>
                    <w:rPr>
                      <w:rStyle w:val="227"/>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w:t>
                  </w:r>
                  <w:r>
                    <w:rPr>
                      <w:rFonts w:hint="default" w:ascii="Times New Roman" w:hAnsi="Times New Roman" w:eastAsia="宋体" w:cs="Times New Roman"/>
                      <w:b w:val="0"/>
                      <w:bCs w:val="0"/>
                      <w:i w:val="0"/>
                      <w:iCs w:val="0"/>
                      <w:color w:val="000000" w:themeColor="text1"/>
                      <w:kern w:val="0"/>
                      <w:sz w:val="18"/>
                      <w:szCs w:val="18"/>
                      <w:highlight w:val="none"/>
                      <w:u w:val="none"/>
                      <w:vertAlign w:val="subscript"/>
                      <w:lang w:val="en-US" w:eastAsia="zh-CN" w:bidi="ar"/>
                      <w14:textFill>
                        <w14:solidFill>
                          <w14:schemeClr w14:val="tx1"/>
                        </w14:solidFill>
                      </w14:textFill>
                    </w:rPr>
                    <w:t>12</w:t>
                  </w:r>
                </w:p>
              </w:tc>
              <w:tc>
                <w:tcPr>
                  <w:tcW w:w="2154" w:type="dxa"/>
                  <w:tcBorders>
                    <w:tl2br w:val="nil"/>
                    <w:tr2bl w:val="nil"/>
                  </w:tcBorders>
                  <w:noWrap w:val="0"/>
                  <w:vAlign w:val="center"/>
                </w:tcPr>
                <w:p w14:paraId="4A8A0C8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0.01</w:t>
                  </w:r>
                </w:p>
              </w:tc>
              <w:tc>
                <w:tcPr>
                  <w:tcW w:w="2154" w:type="dxa"/>
                  <w:tcBorders>
                    <w:tl2br w:val="nil"/>
                    <w:tr2bl w:val="nil"/>
                  </w:tcBorders>
                  <w:noWrap w:val="0"/>
                  <w:vAlign w:val="center"/>
                </w:tcPr>
                <w:p w14:paraId="1CA5736A">
                  <w:pPr>
                    <w:jc w:val="center"/>
                    <w:rPr>
                      <w:rFonts w:hint="default" w:ascii="Times New Roman" w:hAnsi="Times New Roman" w:eastAsia="宋体" w:cs="Times New Roman"/>
                      <w:b w:val="0"/>
                      <w:bCs w:val="0"/>
                      <w:color w:val="000000" w:themeColor="text1"/>
                      <w:sz w:val="18"/>
                      <w:szCs w:val="18"/>
                      <w:highlight w:val="none"/>
                      <w:vertAlign w:val="baseline"/>
                      <w14:textFill>
                        <w14:solidFill>
                          <w14:schemeClr w14:val="tx1"/>
                        </w14:solidFill>
                      </w14:textFill>
                    </w:rPr>
                  </w:pPr>
                </w:p>
              </w:tc>
              <w:tc>
                <w:tcPr>
                  <w:tcW w:w="2154" w:type="dxa"/>
                  <w:tcBorders>
                    <w:tl2br w:val="nil"/>
                    <w:tr2bl w:val="nil"/>
                  </w:tcBorders>
                  <w:noWrap w:val="0"/>
                  <w:vAlign w:val="center"/>
                </w:tcPr>
                <w:p w14:paraId="4B36D278">
                  <w:pPr>
                    <w:jc w:val="center"/>
                    <w:rPr>
                      <w:rFonts w:hint="default" w:ascii="Times New Roman" w:hAnsi="Times New Roman" w:eastAsia="宋体" w:cs="Times New Roman"/>
                      <w:b w:val="0"/>
                      <w:bCs w:val="0"/>
                      <w:color w:val="000000" w:themeColor="text1"/>
                      <w:sz w:val="18"/>
                      <w:szCs w:val="18"/>
                      <w:highlight w:val="none"/>
                      <w:vertAlign w:val="baseline"/>
                      <w14:textFill>
                        <w14:solidFill>
                          <w14:schemeClr w14:val="tx1"/>
                        </w14:solidFill>
                      </w14:textFill>
                    </w:rPr>
                  </w:pPr>
                </w:p>
              </w:tc>
            </w:tr>
          </w:tbl>
          <w:p w14:paraId="707503FD">
            <w:pPr>
              <w:adjustRightInd w:val="0"/>
              <w:snapToGrid w:val="0"/>
              <w:spacing w:line="400" w:lineRule="exact"/>
              <w:jc w:val="center"/>
              <w:rPr>
                <w:rFonts w:hint="default" w:ascii="Times New Roman" w:hAnsi="Times New Roman" w:eastAsia="宋体" w:cs="Times New Roman"/>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本期项目天然气主要指标</w:t>
            </w:r>
          </w:p>
          <w:tbl>
            <w:tblPr>
              <w:tblStyle w:val="37"/>
              <w:tblW w:w="4998" w:type="pct"/>
              <w:tblInd w:w="-15" w:type="dxa"/>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Layout w:type="fixed"/>
              <w:tblCellMar>
                <w:top w:w="0" w:type="dxa"/>
                <w:left w:w="108" w:type="dxa"/>
                <w:bottom w:w="0" w:type="dxa"/>
                <w:right w:w="108" w:type="dxa"/>
              </w:tblCellMar>
            </w:tblPr>
            <w:tblGrid>
              <w:gridCol w:w="2688"/>
              <w:gridCol w:w="2692"/>
              <w:gridCol w:w="2692"/>
            </w:tblGrid>
            <w:tr w14:paraId="2246DFD2">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517" w:hRule="atLeast"/>
              </w:trPr>
              <w:tc>
                <w:tcPr>
                  <w:tcW w:w="1665" w:type="pct"/>
                  <w:tcBorders>
                    <w:tl2br w:val="nil"/>
                    <w:tr2bl w:val="nil"/>
                  </w:tcBorders>
                  <w:noWrap w:val="0"/>
                  <w:vAlign w:val="center"/>
                </w:tcPr>
                <w:p w14:paraId="345D635C">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名称</w:t>
                  </w:r>
                </w:p>
              </w:tc>
              <w:tc>
                <w:tcPr>
                  <w:tcW w:w="1667" w:type="pct"/>
                  <w:tcBorders>
                    <w:tl2br w:val="nil"/>
                    <w:tr2bl w:val="nil"/>
                  </w:tcBorders>
                  <w:noWrap w:val="0"/>
                  <w:vAlign w:val="center"/>
                </w:tcPr>
                <w:p w14:paraId="74CCBB83">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单位</w:t>
                  </w:r>
                </w:p>
              </w:tc>
              <w:tc>
                <w:tcPr>
                  <w:tcW w:w="1667" w:type="pct"/>
                  <w:tcBorders>
                    <w:tl2br w:val="nil"/>
                    <w:tr2bl w:val="nil"/>
                  </w:tcBorders>
                  <w:noWrap w:val="0"/>
                  <w:vAlign w:val="center"/>
                </w:tcPr>
                <w:p w14:paraId="3A781FDD">
                  <w:pPr>
                    <w:pStyle w:val="16"/>
                    <w:keepNext w:val="0"/>
                    <w:keepLines w:val="0"/>
                    <w:pageBreakBefore w:val="0"/>
                    <w:widowControl/>
                    <w:kinsoku/>
                    <w:wordWrap/>
                    <w:overflowPunct/>
                    <w:topLinePunct w:val="0"/>
                    <w:autoSpaceDE/>
                    <w:autoSpaceDN/>
                    <w:bidi w:val="0"/>
                    <w:adjustRightInd/>
                    <w:snapToGrid w:val="0"/>
                    <w:spacing w:before="0" w:after="0" w:line="240" w:lineRule="auto"/>
                    <w:ind w:right="0" w:rightChars="0"/>
                    <w:jc w:val="center"/>
                    <w:textAlignment w:val="auto"/>
                    <w:rPr>
                      <w:rFonts w:hint="default" w:ascii="Times New Roman" w:hAnsi="Times New Roman" w:eastAsia="宋体" w:cs="Times New Roman"/>
                      <w:b w:val="0"/>
                      <w:bCs w:val="0"/>
                      <w:color w:val="000000" w:themeColor="text1"/>
                      <w:sz w:val="18"/>
                      <w:szCs w:val="18"/>
                      <w:highlight w:val="none"/>
                      <w:vertAlign w:val="baseli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数值</w:t>
                  </w:r>
                </w:p>
              </w:tc>
            </w:tr>
            <w:tr w14:paraId="5BFF5CDA">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397" w:hRule="atLeast"/>
              </w:trPr>
              <w:tc>
                <w:tcPr>
                  <w:tcW w:w="2696" w:type="dxa"/>
                  <w:tcBorders>
                    <w:tl2br w:val="nil"/>
                    <w:tr2bl w:val="nil"/>
                  </w:tcBorders>
                  <w:noWrap w:val="0"/>
                  <w:vAlign w:val="center"/>
                </w:tcPr>
                <w:p w14:paraId="4EBB843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相对密度</w:t>
                  </w:r>
                </w:p>
              </w:tc>
              <w:tc>
                <w:tcPr>
                  <w:tcW w:w="2700" w:type="dxa"/>
                  <w:tcBorders>
                    <w:tl2br w:val="nil"/>
                    <w:tr2bl w:val="nil"/>
                  </w:tcBorders>
                  <w:noWrap w:val="0"/>
                  <w:vAlign w:val="center"/>
                </w:tcPr>
                <w:p w14:paraId="3E582248">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w:t>
                  </w:r>
                </w:p>
              </w:tc>
              <w:tc>
                <w:tcPr>
                  <w:tcW w:w="2700" w:type="dxa"/>
                  <w:tcBorders>
                    <w:tl2br w:val="nil"/>
                    <w:tr2bl w:val="nil"/>
                  </w:tcBorders>
                  <w:noWrap w:val="0"/>
                  <w:vAlign w:val="center"/>
                </w:tcPr>
                <w:p w14:paraId="10EEB9A7">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0.576</w:t>
                  </w:r>
                </w:p>
              </w:tc>
            </w:tr>
            <w:tr w14:paraId="40B70E2C">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397" w:hRule="atLeast"/>
              </w:trPr>
              <w:tc>
                <w:tcPr>
                  <w:tcW w:w="2696" w:type="dxa"/>
                  <w:vMerge w:val="restart"/>
                  <w:tcBorders>
                    <w:tl2br w:val="nil"/>
                    <w:tr2bl w:val="nil"/>
                  </w:tcBorders>
                  <w:noWrap w:val="0"/>
                  <w:vAlign w:val="center"/>
                </w:tcPr>
                <w:p w14:paraId="08F5A3B0">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低位发热量 (LHV</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，状态：</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0.1013MPa</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15</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 xml:space="preserve"> )</w:t>
                  </w:r>
                </w:p>
              </w:tc>
              <w:tc>
                <w:tcPr>
                  <w:tcW w:w="2700" w:type="dxa"/>
                  <w:tcBorders>
                    <w:tl2br w:val="nil"/>
                    <w:tr2bl w:val="nil"/>
                  </w:tcBorders>
                  <w:noWrap w:val="0"/>
                  <w:vAlign w:val="center"/>
                </w:tcPr>
                <w:p w14:paraId="3029DB1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kJ/m</w:t>
                  </w:r>
                  <w:r>
                    <w:rPr>
                      <w:rFonts w:hint="default" w:ascii="Times New Roman" w:hAnsi="Times New Roman" w:eastAsia="宋体" w:cs="Times New Roman"/>
                      <w:b w:val="0"/>
                      <w:bCs w:val="0"/>
                      <w:i w:val="0"/>
                      <w:iCs w:val="0"/>
                      <w:color w:val="000000" w:themeColor="text1"/>
                      <w:kern w:val="0"/>
                      <w:sz w:val="18"/>
                      <w:szCs w:val="18"/>
                      <w:highlight w:val="none"/>
                      <w:u w:val="none"/>
                      <w:vertAlign w:val="superscript"/>
                      <w:lang w:val="en-US" w:eastAsia="zh-CN" w:bidi="ar"/>
                      <w14:textFill>
                        <w14:solidFill>
                          <w14:schemeClr w14:val="tx1"/>
                        </w14:solidFill>
                      </w14:textFill>
                    </w:rPr>
                    <w:t>3</w:t>
                  </w:r>
                </w:p>
              </w:tc>
              <w:tc>
                <w:tcPr>
                  <w:tcW w:w="2700" w:type="dxa"/>
                  <w:tcBorders>
                    <w:tl2br w:val="nil"/>
                    <w:tr2bl w:val="nil"/>
                  </w:tcBorders>
                  <w:noWrap w:val="0"/>
                  <w:vAlign w:val="center"/>
                </w:tcPr>
                <w:p w14:paraId="00B402FB">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33807</w:t>
                  </w:r>
                </w:p>
              </w:tc>
            </w:tr>
            <w:tr w14:paraId="6026BB96">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397" w:hRule="atLeast"/>
              </w:trPr>
              <w:tc>
                <w:tcPr>
                  <w:tcW w:w="2696" w:type="dxa"/>
                  <w:vMerge w:val="continue"/>
                  <w:tcBorders>
                    <w:tl2br w:val="nil"/>
                    <w:tr2bl w:val="nil"/>
                  </w:tcBorders>
                  <w:noWrap w:val="0"/>
                  <w:vAlign w:val="center"/>
                </w:tcPr>
                <w:p w14:paraId="290CD54B">
                  <w:pPr>
                    <w:jc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p>
              </w:tc>
              <w:tc>
                <w:tcPr>
                  <w:tcW w:w="2700" w:type="dxa"/>
                  <w:tcBorders>
                    <w:tl2br w:val="nil"/>
                    <w:tr2bl w:val="nil"/>
                  </w:tcBorders>
                  <w:noWrap w:val="0"/>
                  <w:vAlign w:val="center"/>
                </w:tcPr>
                <w:p w14:paraId="15A1E67A">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kCal/m</w:t>
                  </w:r>
                  <w:r>
                    <w:rPr>
                      <w:rFonts w:hint="default" w:ascii="Times New Roman" w:hAnsi="Times New Roman" w:eastAsia="宋体" w:cs="Times New Roman"/>
                      <w:b w:val="0"/>
                      <w:bCs w:val="0"/>
                      <w:i w:val="0"/>
                      <w:iCs w:val="0"/>
                      <w:color w:val="000000" w:themeColor="text1"/>
                      <w:kern w:val="0"/>
                      <w:sz w:val="18"/>
                      <w:szCs w:val="18"/>
                      <w:highlight w:val="none"/>
                      <w:u w:val="none"/>
                      <w:vertAlign w:val="superscript"/>
                      <w:lang w:val="en-US" w:eastAsia="zh-CN" w:bidi="ar"/>
                      <w14:textFill>
                        <w14:solidFill>
                          <w14:schemeClr w14:val="tx1"/>
                        </w14:solidFill>
                      </w14:textFill>
                    </w:rPr>
                    <w:t>3</w:t>
                  </w:r>
                </w:p>
              </w:tc>
              <w:tc>
                <w:tcPr>
                  <w:tcW w:w="2700" w:type="dxa"/>
                  <w:tcBorders>
                    <w:tl2br w:val="nil"/>
                    <w:tr2bl w:val="nil"/>
                  </w:tcBorders>
                  <w:noWrap w:val="0"/>
                  <w:vAlign w:val="center"/>
                </w:tcPr>
                <w:p w14:paraId="62D1A1E4">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8074</w:t>
                  </w:r>
                </w:p>
              </w:tc>
            </w:tr>
            <w:tr w14:paraId="6BA7A58B">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397" w:hRule="atLeast"/>
              </w:trPr>
              <w:tc>
                <w:tcPr>
                  <w:tcW w:w="2696" w:type="dxa"/>
                  <w:vMerge w:val="restart"/>
                  <w:tcBorders>
                    <w:tl2br w:val="nil"/>
                    <w:tr2bl w:val="nil"/>
                  </w:tcBorders>
                  <w:noWrap w:val="0"/>
                  <w:vAlign w:val="center"/>
                </w:tcPr>
                <w:p w14:paraId="7B63CD5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高</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位发热量 (</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H</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HV</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，状态：</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0.1013MPa</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15</w:t>
                  </w: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w:t>
                  </w:r>
                  <w:r>
                    <w:rPr>
                      <w:rStyle w:val="229"/>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 xml:space="preserve"> )</w:t>
                  </w:r>
                </w:p>
              </w:tc>
              <w:tc>
                <w:tcPr>
                  <w:tcW w:w="2700" w:type="dxa"/>
                  <w:tcBorders>
                    <w:tl2br w:val="nil"/>
                    <w:tr2bl w:val="nil"/>
                  </w:tcBorders>
                  <w:noWrap w:val="0"/>
                  <w:vAlign w:val="center"/>
                </w:tcPr>
                <w:p w14:paraId="35A96F7E">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kJ/m</w:t>
                  </w:r>
                  <w:r>
                    <w:rPr>
                      <w:rFonts w:hint="default" w:ascii="Times New Roman" w:hAnsi="Times New Roman" w:eastAsia="宋体" w:cs="Times New Roman"/>
                      <w:b w:val="0"/>
                      <w:bCs w:val="0"/>
                      <w:i w:val="0"/>
                      <w:iCs w:val="0"/>
                      <w:color w:val="000000" w:themeColor="text1"/>
                      <w:kern w:val="0"/>
                      <w:sz w:val="18"/>
                      <w:szCs w:val="18"/>
                      <w:highlight w:val="none"/>
                      <w:u w:val="none"/>
                      <w:vertAlign w:val="superscript"/>
                      <w:lang w:val="en-US" w:eastAsia="zh-CN" w:bidi="ar"/>
                      <w14:textFill>
                        <w14:solidFill>
                          <w14:schemeClr w14:val="tx1"/>
                        </w14:solidFill>
                      </w14:textFill>
                    </w:rPr>
                    <w:t>3</w:t>
                  </w:r>
                </w:p>
              </w:tc>
              <w:tc>
                <w:tcPr>
                  <w:tcW w:w="2700" w:type="dxa"/>
                  <w:tcBorders>
                    <w:tl2br w:val="nil"/>
                    <w:tr2bl w:val="nil"/>
                  </w:tcBorders>
                  <w:noWrap w:val="0"/>
                  <w:vAlign w:val="center"/>
                </w:tcPr>
                <w:p w14:paraId="586C455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37468</w:t>
                  </w:r>
                </w:p>
              </w:tc>
            </w:tr>
            <w:tr w14:paraId="3539674B">
              <w:tblPrEx>
                <w:tblBorders>
                  <w:top w:val="single" w:color="000000" w:sz="12" w:space="0"/>
                  <w:left w:val="single" w:color="000000" w:sz="12" w:space="0"/>
                  <w:bottom w:val="single" w:color="000000" w:sz="12" w:space="0"/>
                  <w:right w:val="single" w:color="000000" w:sz="12" w:space="0"/>
                  <w:insideH w:val="single" w:color="auto" w:sz="2" w:space="0"/>
                  <w:insideV w:val="single" w:color="auto" w:sz="4" w:space="0"/>
                </w:tblBorders>
                <w:tblCellMar>
                  <w:top w:w="0" w:type="dxa"/>
                  <w:left w:w="108" w:type="dxa"/>
                  <w:bottom w:w="0" w:type="dxa"/>
                  <w:right w:w="108" w:type="dxa"/>
                </w:tblCellMar>
              </w:tblPrEx>
              <w:trPr>
                <w:trHeight w:val="397" w:hRule="atLeast"/>
              </w:trPr>
              <w:tc>
                <w:tcPr>
                  <w:tcW w:w="2696" w:type="dxa"/>
                  <w:vMerge w:val="continue"/>
                  <w:tcBorders>
                    <w:tl2br w:val="nil"/>
                    <w:tr2bl w:val="nil"/>
                  </w:tcBorders>
                  <w:noWrap w:val="0"/>
                  <w:vAlign w:val="center"/>
                </w:tcPr>
                <w:p w14:paraId="0DE40ED2">
                  <w:pPr>
                    <w:jc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p>
              </w:tc>
              <w:tc>
                <w:tcPr>
                  <w:tcW w:w="2700" w:type="dxa"/>
                  <w:tcBorders>
                    <w:tl2br w:val="nil"/>
                    <w:tr2bl w:val="nil"/>
                  </w:tcBorders>
                  <w:noWrap w:val="0"/>
                  <w:vAlign w:val="center"/>
                </w:tcPr>
                <w:p w14:paraId="77597EF6">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kCal/m</w:t>
                  </w:r>
                  <w:r>
                    <w:rPr>
                      <w:rFonts w:hint="default" w:ascii="Times New Roman" w:hAnsi="Times New Roman" w:eastAsia="宋体" w:cs="Times New Roman"/>
                      <w:b w:val="0"/>
                      <w:bCs w:val="0"/>
                      <w:i w:val="0"/>
                      <w:iCs w:val="0"/>
                      <w:color w:val="000000" w:themeColor="text1"/>
                      <w:kern w:val="0"/>
                      <w:sz w:val="18"/>
                      <w:szCs w:val="18"/>
                      <w:highlight w:val="none"/>
                      <w:u w:val="none"/>
                      <w:vertAlign w:val="superscript"/>
                      <w:lang w:val="en-US" w:eastAsia="zh-CN" w:bidi="ar"/>
                      <w14:textFill>
                        <w14:solidFill>
                          <w14:schemeClr w14:val="tx1"/>
                        </w14:solidFill>
                      </w14:textFill>
                    </w:rPr>
                    <w:t>3</w:t>
                  </w:r>
                </w:p>
              </w:tc>
              <w:tc>
                <w:tcPr>
                  <w:tcW w:w="2700" w:type="dxa"/>
                  <w:tcBorders>
                    <w:tl2br w:val="nil"/>
                    <w:tr2bl w:val="nil"/>
                  </w:tcBorders>
                  <w:noWrap w:val="0"/>
                  <w:vAlign w:val="center"/>
                </w:tcPr>
                <w:p w14:paraId="58C53268">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8948</w:t>
                  </w:r>
                </w:p>
              </w:tc>
            </w:tr>
          </w:tbl>
          <w:p w14:paraId="6D5682A3">
            <w:pPr>
              <w:spacing w:line="400" w:lineRule="exact"/>
              <w:ind w:firstLine="422"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4、生产设备</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4E18C75E">
            <w:pPr>
              <w:spacing w:line="40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本期项目主要</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新增</w:t>
            </w:r>
            <w:r>
              <w:rPr>
                <w:rFonts w:hint="default" w:ascii="Times New Roman" w:hAnsi="Times New Roman" w:eastAsia="宋体" w:cs="Times New Roman"/>
                <w:color w:val="000000" w:themeColor="text1"/>
                <w:szCs w:val="21"/>
                <w:highlight w:val="none"/>
                <w14:textFill>
                  <w14:solidFill>
                    <w14:schemeClr w14:val="tx1"/>
                  </w14:solidFill>
                </w14:textFill>
              </w:rPr>
              <w:t>生产设备情况见下表：</w:t>
            </w:r>
          </w:p>
          <w:p w14:paraId="2127EB1D">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38084EF">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4ACD5E1">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ED8539A">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767230A1">
            <w:pPr>
              <w:pStyle w:val="45"/>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6F5C7067">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7461640">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C3C6466">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本期项目涉及的</w:t>
            </w:r>
            <w:r>
              <w:rPr>
                <w:rFonts w:hint="default" w:ascii="Times New Roman" w:hAnsi="Times New Roman" w:eastAsia="宋体" w:cs="Times New Roman"/>
                <w:color w:val="000000" w:themeColor="text1"/>
                <w:sz w:val="21"/>
                <w:szCs w:val="21"/>
                <w:highlight w:val="none"/>
                <w14:textFill>
                  <w14:solidFill>
                    <w14:schemeClr w14:val="tx1"/>
                  </w14:solidFill>
                </w14:textFill>
              </w:rPr>
              <w:t>主要设备清单</w:t>
            </w:r>
          </w:p>
          <w:tbl>
            <w:tblPr>
              <w:tblStyle w:val="36"/>
              <w:tblW w:w="4996" w:type="pct"/>
              <w:tblInd w:w="-15" w:type="dxa"/>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596"/>
              <w:gridCol w:w="1654"/>
              <w:gridCol w:w="2661"/>
              <w:gridCol w:w="924"/>
              <w:gridCol w:w="2236"/>
            </w:tblGrid>
            <w:tr w14:paraId="584A6BF1">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171DF97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序号</w:t>
                  </w:r>
                </w:p>
              </w:tc>
              <w:tc>
                <w:tcPr>
                  <w:tcW w:w="1024" w:type="pct"/>
                  <w:tcBorders>
                    <w:tl2br w:val="nil"/>
                    <w:tr2bl w:val="nil"/>
                  </w:tcBorders>
                  <w:shd w:val="clear" w:color="auto" w:fill="FFFFFF"/>
                  <w:noWrap w:val="0"/>
                  <w:vAlign w:val="center"/>
                </w:tcPr>
                <w:p w14:paraId="2ED51A0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设备名称</w:t>
                  </w:r>
                </w:p>
              </w:tc>
              <w:tc>
                <w:tcPr>
                  <w:tcW w:w="1648" w:type="pct"/>
                  <w:tcBorders>
                    <w:tl2br w:val="nil"/>
                    <w:tr2bl w:val="nil"/>
                  </w:tcBorders>
                  <w:shd w:val="clear" w:color="auto" w:fill="FFFFFF"/>
                  <w:noWrap w:val="0"/>
                  <w:vAlign w:val="center"/>
                </w:tcPr>
                <w:p w14:paraId="0644C79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规格型号</w:t>
                  </w:r>
                </w:p>
              </w:tc>
              <w:tc>
                <w:tcPr>
                  <w:tcW w:w="572" w:type="pct"/>
                  <w:tcBorders>
                    <w:tl2br w:val="nil"/>
                    <w:tr2bl w:val="nil"/>
                  </w:tcBorders>
                  <w:shd w:val="clear" w:color="auto" w:fill="FFFFFF"/>
                  <w:noWrap w:val="0"/>
                  <w:vAlign w:val="center"/>
                </w:tcPr>
                <w:p w14:paraId="29588F3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数量（台）</w:t>
                  </w:r>
                </w:p>
              </w:tc>
              <w:tc>
                <w:tcPr>
                  <w:tcW w:w="1384" w:type="pct"/>
                  <w:tcBorders>
                    <w:tl2br w:val="nil"/>
                    <w:tr2bl w:val="nil"/>
                  </w:tcBorders>
                  <w:noWrap/>
                  <w:vAlign w:val="center"/>
                </w:tcPr>
                <w:p w14:paraId="0C27A0E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备注</w:t>
                  </w:r>
                </w:p>
              </w:tc>
            </w:tr>
            <w:tr w14:paraId="4B1A13A0">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38" w:hRule="atLeast"/>
              </w:trPr>
              <w:tc>
                <w:tcPr>
                  <w:tcW w:w="369" w:type="pct"/>
                  <w:tcBorders>
                    <w:tl2br w:val="nil"/>
                    <w:tr2bl w:val="nil"/>
                  </w:tcBorders>
                  <w:shd w:val="clear" w:color="auto" w:fill="auto"/>
                  <w:noWrap/>
                  <w:vAlign w:val="center"/>
                </w:tcPr>
                <w:p w14:paraId="482B7D1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w:t>
                  </w:r>
                </w:p>
              </w:tc>
              <w:tc>
                <w:tcPr>
                  <w:tcW w:w="1024" w:type="pct"/>
                  <w:tcBorders>
                    <w:tl2br w:val="nil"/>
                    <w:tr2bl w:val="nil"/>
                  </w:tcBorders>
                  <w:shd w:val="clear" w:color="auto" w:fill="FFFFFF"/>
                  <w:noWrap w:val="0"/>
                  <w:vAlign w:val="center"/>
                </w:tcPr>
                <w:p w14:paraId="788CFE0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燃气锅炉</w:t>
                  </w:r>
                </w:p>
                <w:p w14:paraId="552D63F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（备用）</w:t>
                  </w:r>
                </w:p>
              </w:tc>
              <w:tc>
                <w:tcPr>
                  <w:tcW w:w="1648" w:type="pct"/>
                  <w:tcBorders>
                    <w:tl2br w:val="nil"/>
                    <w:tr2bl w:val="nil"/>
                  </w:tcBorders>
                  <w:shd w:val="clear" w:color="auto" w:fill="FFFFFF"/>
                  <w:noWrap w:val="0"/>
                  <w:vAlign w:val="center"/>
                </w:tcPr>
                <w:p w14:paraId="19419D5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100t/h，</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额定蒸汽参数为320℃、1.0 MPa，</w:t>
                  </w:r>
                </w:p>
              </w:tc>
              <w:tc>
                <w:tcPr>
                  <w:tcW w:w="572" w:type="pct"/>
                  <w:tcBorders>
                    <w:tl2br w:val="nil"/>
                    <w:tr2bl w:val="nil"/>
                  </w:tcBorders>
                  <w:shd w:val="clear" w:color="auto" w:fill="FFFFFF"/>
                  <w:noWrap w:val="0"/>
                  <w:vAlign w:val="center"/>
                </w:tcPr>
                <w:p w14:paraId="118C47F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w:t>
                  </w:r>
                </w:p>
              </w:tc>
              <w:tc>
                <w:tcPr>
                  <w:tcW w:w="1384" w:type="pct"/>
                  <w:tcBorders>
                    <w:tl2br w:val="nil"/>
                    <w:tr2bl w:val="nil"/>
                  </w:tcBorders>
                  <w:noWrap/>
                  <w:vAlign w:val="center"/>
                </w:tcPr>
                <w:p w14:paraId="52034BE4">
                  <w:pPr>
                    <w:keepNext w:val="0"/>
                    <w:keepLines w:val="0"/>
                    <w:widowControl/>
                    <w:suppressLineNumbers w:val="0"/>
                    <w:jc w:val="left"/>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锅炉房占地面积</w:t>
                  </w:r>
                  <w:r>
                    <w:rPr>
                      <w:rFonts w:hint="eastAsia" w:cs="Times New Roman"/>
                      <w:b w:val="0"/>
                      <w:bCs w:val="0"/>
                      <w:color w:val="000000" w:themeColor="text1"/>
                      <w:sz w:val="18"/>
                      <w:szCs w:val="18"/>
                      <w:highlight w:val="none"/>
                      <w:lang w:val="en-US" w:eastAsia="zh-CN"/>
                      <w14:textFill>
                        <w14:solidFill>
                          <w14:schemeClr w14:val="tx1"/>
                        </w14:solidFill>
                      </w14:textFill>
                    </w:rPr>
                    <w:t>971.4</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m</w:t>
                  </w:r>
                  <w:r>
                    <w:rPr>
                      <w:rFonts w:hint="default" w:ascii="Times New Roman" w:hAnsi="Times New Roman" w:eastAsia="宋体" w:cs="Times New Roman"/>
                      <w:b w:val="0"/>
                      <w:bCs w:val="0"/>
                      <w:color w:val="000000" w:themeColor="text1"/>
                      <w:sz w:val="18"/>
                      <w:szCs w:val="18"/>
                      <w:highlight w:val="none"/>
                      <w:vertAlign w:val="super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布置在现有50t/h备用燃气锅炉西侧发展用地内，</w:t>
                  </w:r>
                  <w:r>
                    <w:rPr>
                      <w:rFonts w:hint="default" w:ascii="Times New Roman" w:hAnsi="Times New Roman" w:eastAsia="宋体" w:cs="Times New Roman"/>
                      <w:b w:val="0"/>
                      <w:bCs w:val="0"/>
                      <w:color w:val="000000" w:themeColor="text1"/>
                      <w:kern w:val="0"/>
                      <w:sz w:val="18"/>
                      <w:szCs w:val="18"/>
                      <w:highlight w:val="none"/>
                      <w:lang w:val="en-US" w:eastAsia="zh-CN" w:bidi="ar"/>
                      <w14:textFill>
                        <w14:solidFill>
                          <w14:schemeClr w14:val="tx1"/>
                        </w14:solidFill>
                      </w14:textFill>
                    </w:rPr>
                    <w:t>半露天布置，设备顶部设置钢结构雨棚，西面设置防火墙，其他三面不设墙</w:t>
                  </w:r>
                </w:p>
              </w:tc>
            </w:tr>
            <w:tr w14:paraId="2E364688">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0B7A0F6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w:t>
                  </w:r>
                </w:p>
              </w:tc>
              <w:tc>
                <w:tcPr>
                  <w:tcW w:w="1024" w:type="pct"/>
                  <w:tcBorders>
                    <w:tl2br w:val="nil"/>
                    <w:tr2bl w:val="nil"/>
                  </w:tcBorders>
                  <w:shd w:val="clear" w:color="auto" w:fill="FFFFFF"/>
                  <w:noWrap w:val="0"/>
                  <w:vAlign w:val="center"/>
                </w:tcPr>
                <w:p w14:paraId="4D21FBF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电动给水泵</w:t>
                  </w:r>
                </w:p>
              </w:tc>
              <w:tc>
                <w:tcPr>
                  <w:tcW w:w="1648" w:type="pct"/>
                  <w:tcBorders>
                    <w:tl2br w:val="nil"/>
                    <w:tr2bl w:val="nil"/>
                  </w:tcBorders>
                  <w:shd w:val="clear" w:color="auto" w:fill="FFFFFF"/>
                  <w:noWrap w:val="0"/>
                  <w:vAlign w:val="center"/>
                </w:tcPr>
                <w:p w14:paraId="58F06E1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Q=</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120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t/h，H=1</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5</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0m，N=</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110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KW</w:t>
                  </w:r>
                  <w: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t>，380V变频</w:t>
                  </w:r>
                </w:p>
              </w:tc>
              <w:tc>
                <w:tcPr>
                  <w:tcW w:w="572" w:type="pct"/>
                  <w:tcBorders>
                    <w:tl2br w:val="nil"/>
                    <w:tr2bl w:val="nil"/>
                  </w:tcBorders>
                  <w:shd w:val="clear" w:color="auto" w:fill="FFFFFF"/>
                  <w:noWrap w:val="0"/>
                  <w:vAlign w:val="center"/>
                </w:tcPr>
                <w:p w14:paraId="62FD76F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w:t>
                  </w:r>
                </w:p>
              </w:tc>
              <w:tc>
                <w:tcPr>
                  <w:tcW w:w="1384" w:type="pct"/>
                  <w:tcBorders>
                    <w:tl2br w:val="nil"/>
                    <w:tr2bl w:val="nil"/>
                  </w:tcBorders>
                  <w:noWrap/>
                  <w:vAlign w:val="center"/>
                </w:tcPr>
                <w:p w14:paraId="7D97863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1用1备</w:t>
                  </w:r>
                </w:p>
              </w:tc>
            </w:tr>
            <w:tr w14:paraId="55879CA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26876F5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3</w:t>
                  </w:r>
                </w:p>
              </w:tc>
              <w:tc>
                <w:tcPr>
                  <w:tcW w:w="1024" w:type="pct"/>
                  <w:tcBorders>
                    <w:tl2br w:val="nil"/>
                    <w:tr2bl w:val="nil"/>
                  </w:tcBorders>
                  <w:shd w:val="clear" w:color="auto" w:fill="FFFFFF"/>
                  <w:noWrap w:val="0"/>
                  <w:vAlign w:val="center"/>
                </w:tcPr>
                <w:p w14:paraId="08C20FB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热力除氧器及水箱</w:t>
                  </w:r>
                </w:p>
              </w:tc>
              <w:tc>
                <w:tcPr>
                  <w:tcW w:w="1648" w:type="pct"/>
                  <w:tcBorders>
                    <w:tl2br w:val="nil"/>
                    <w:tr2bl w:val="nil"/>
                  </w:tcBorders>
                  <w:shd w:val="clear" w:color="auto" w:fill="FFFFFF"/>
                  <w:noWrap w:val="0"/>
                  <w:vAlign w:val="center"/>
                </w:tcPr>
                <w:p w14:paraId="21E0A66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V=40m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，处理能力</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110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t/h</w:t>
                  </w:r>
                </w:p>
              </w:tc>
              <w:tc>
                <w:tcPr>
                  <w:tcW w:w="572" w:type="pct"/>
                  <w:tcBorders>
                    <w:tl2br w:val="nil"/>
                    <w:tr2bl w:val="nil"/>
                  </w:tcBorders>
                  <w:shd w:val="clear" w:color="auto" w:fill="FFFFFF"/>
                  <w:noWrap w:val="0"/>
                  <w:vAlign w:val="center"/>
                </w:tcPr>
                <w:p w14:paraId="5095DA9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1</w:t>
                  </w:r>
                </w:p>
              </w:tc>
              <w:tc>
                <w:tcPr>
                  <w:tcW w:w="1384" w:type="pct"/>
                  <w:tcBorders>
                    <w:tl2br w:val="nil"/>
                    <w:tr2bl w:val="nil"/>
                  </w:tcBorders>
                  <w:noWrap/>
                  <w:vAlign w:val="center"/>
                </w:tcPr>
                <w:p w14:paraId="0065E84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3D78A05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4B582B1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4</w:t>
                  </w:r>
                </w:p>
              </w:tc>
              <w:tc>
                <w:tcPr>
                  <w:tcW w:w="1024" w:type="pct"/>
                  <w:tcBorders>
                    <w:tl2br w:val="nil"/>
                    <w:tr2bl w:val="nil"/>
                  </w:tcBorders>
                  <w:shd w:val="clear" w:color="auto" w:fill="FFFFFF"/>
                  <w:noWrap w:val="0"/>
                  <w:vAlign w:val="center"/>
                </w:tcPr>
                <w:p w14:paraId="5B96BEA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给水前置泵</w:t>
                  </w:r>
                </w:p>
              </w:tc>
              <w:tc>
                <w:tcPr>
                  <w:tcW w:w="1648" w:type="pct"/>
                  <w:tcBorders>
                    <w:tl2br w:val="nil"/>
                    <w:tr2bl w:val="nil"/>
                  </w:tcBorders>
                  <w:shd w:val="clear" w:color="auto" w:fill="FFFFFF"/>
                  <w:noWrap w:val="0"/>
                  <w:vAlign w:val="center"/>
                </w:tcPr>
                <w:p w14:paraId="7CFD87B6">
                  <w:pPr>
                    <w:keepNext w:val="0"/>
                    <w:keepLines w:val="0"/>
                    <w:widowControl/>
                    <w:suppressLineNumbers w:val="0"/>
                    <w:jc w:val="both"/>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Q=120t/h,H=20m  N=11kw，变频</w:t>
                  </w:r>
                </w:p>
              </w:tc>
              <w:tc>
                <w:tcPr>
                  <w:tcW w:w="572" w:type="pct"/>
                  <w:tcBorders>
                    <w:tl2br w:val="nil"/>
                    <w:tr2bl w:val="nil"/>
                  </w:tcBorders>
                  <w:shd w:val="clear" w:color="auto" w:fill="FFFFFF"/>
                  <w:noWrap w:val="0"/>
                  <w:vAlign w:val="center"/>
                </w:tcPr>
                <w:p w14:paraId="79057DFC">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2</w:t>
                  </w:r>
                </w:p>
              </w:tc>
              <w:tc>
                <w:tcPr>
                  <w:tcW w:w="1384" w:type="pct"/>
                  <w:tcBorders>
                    <w:tl2br w:val="nil"/>
                    <w:tr2bl w:val="nil"/>
                  </w:tcBorders>
                  <w:noWrap/>
                  <w:vAlign w:val="center"/>
                </w:tcPr>
                <w:p w14:paraId="25C11C3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1用1备</w:t>
                  </w:r>
                </w:p>
              </w:tc>
            </w:tr>
            <w:tr w14:paraId="5B8F23E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6F4B3F8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5</w:t>
                  </w:r>
                </w:p>
              </w:tc>
              <w:tc>
                <w:tcPr>
                  <w:tcW w:w="1024" w:type="pct"/>
                  <w:tcBorders>
                    <w:tl2br w:val="nil"/>
                    <w:tr2bl w:val="nil"/>
                  </w:tcBorders>
                  <w:shd w:val="clear" w:color="auto" w:fill="FFFFFF"/>
                  <w:noWrap w:val="0"/>
                  <w:vAlign w:val="center"/>
                </w:tcPr>
                <w:p w14:paraId="78C0D20E">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定期排污扩容器</w:t>
                  </w:r>
                </w:p>
              </w:tc>
              <w:tc>
                <w:tcPr>
                  <w:tcW w:w="1648" w:type="pct"/>
                  <w:tcBorders>
                    <w:tl2br w:val="nil"/>
                    <w:tr2bl w:val="nil"/>
                  </w:tcBorders>
                  <w:shd w:val="clear" w:color="auto" w:fill="FFFFFF"/>
                  <w:noWrap w:val="0"/>
                  <w:vAlign w:val="center"/>
                </w:tcPr>
                <w:p w14:paraId="39A6A03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DP-7.5型，Q245R外壳，V=7.5m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，工作压力</w:t>
                  </w:r>
                  <w: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常压</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，工作温度t=120℃</w:t>
                  </w:r>
                </w:p>
              </w:tc>
              <w:tc>
                <w:tcPr>
                  <w:tcW w:w="572" w:type="pct"/>
                  <w:tcBorders>
                    <w:tl2br w:val="nil"/>
                    <w:tr2bl w:val="nil"/>
                  </w:tcBorders>
                  <w:shd w:val="clear" w:color="auto" w:fill="FFFFFF"/>
                  <w:noWrap w:val="0"/>
                  <w:vAlign w:val="center"/>
                </w:tcPr>
                <w:p w14:paraId="3313F3E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1</w:t>
                  </w:r>
                </w:p>
              </w:tc>
              <w:tc>
                <w:tcPr>
                  <w:tcW w:w="1384" w:type="pct"/>
                  <w:tcBorders>
                    <w:tl2br w:val="nil"/>
                    <w:tr2bl w:val="nil"/>
                  </w:tcBorders>
                  <w:noWrap/>
                  <w:vAlign w:val="center"/>
                </w:tcPr>
                <w:p w14:paraId="648F725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0882837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081715E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6</w:t>
                  </w:r>
                </w:p>
              </w:tc>
              <w:tc>
                <w:tcPr>
                  <w:tcW w:w="1024" w:type="pct"/>
                  <w:tcBorders>
                    <w:tl2br w:val="nil"/>
                    <w:tr2bl w:val="nil"/>
                  </w:tcBorders>
                  <w:shd w:val="clear" w:color="auto" w:fill="FFFFFF"/>
                  <w:noWrap w:val="0"/>
                  <w:vAlign w:val="center"/>
                </w:tcPr>
                <w:p w14:paraId="7BF2AF9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自立式钢制烟囱</w:t>
                  </w:r>
                </w:p>
              </w:tc>
              <w:tc>
                <w:tcPr>
                  <w:tcW w:w="1648" w:type="pct"/>
                  <w:tcBorders>
                    <w:tl2br w:val="nil"/>
                    <w:tr2bl w:val="nil"/>
                  </w:tcBorders>
                  <w:shd w:val="clear" w:color="auto" w:fill="FFFFFF"/>
                  <w:noWrap w:val="0"/>
                  <w:vAlign w:val="center"/>
                </w:tcPr>
                <w:p w14:paraId="24E3984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出口内径：</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00mm，出口标高：</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25</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m</w:t>
                  </w:r>
                </w:p>
              </w:tc>
              <w:tc>
                <w:tcPr>
                  <w:tcW w:w="572" w:type="pct"/>
                  <w:tcBorders>
                    <w:tl2br w:val="nil"/>
                    <w:tr2bl w:val="nil"/>
                  </w:tcBorders>
                  <w:shd w:val="clear" w:color="auto" w:fill="FFFFFF"/>
                  <w:noWrap w:val="0"/>
                  <w:vAlign w:val="center"/>
                </w:tcPr>
                <w:p w14:paraId="69E5170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1</w:t>
                  </w:r>
                </w:p>
              </w:tc>
              <w:tc>
                <w:tcPr>
                  <w:tcW w:w="1384" w:type="pct"/>
                  <w:tcBorders>
                    <w:tl2br w:val="nil"/>
                    <w:tr2bl w:val="nil"/>
                  </w:tcBorders>
                  <w:noWrap/>
                  <w:vAlign w:val="center"/>
                </w:tcPr>
                <w:p w14:paraId="0B550F7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6B0FF44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17A6E8B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7</w:t>
                  </w:r>
                </w:p>
              </w:tc>
              <w:tc>
                <w:tcPr>
                  <w:tcW w:w="1024" w:type="pct"/>
                  <w:tcBorders>
                    <w:tl2br w:val="nil"/>
                    <w:tr2bl w:val="nil"/>
                  </w:tcBorders>
                  <w:shd w:val="clear" w:color="auto" w:fill="FFFFFF"/>
                  <w:noWrap w:val="0"/>
                  <w:vAlign w:val="center"/>
                </w:tcPr>
                <w:p w14:paraId="0ABF5F0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除盐水增压泵</w:t>
                  </w:r>
                </w:p>
              </w:tc>
              <w:tc>
                <w:tcPr>
                  <w:tcW w:w="1648" w:type="pct"/>
                  <w:tcBorders>
                    <w:tl2br w:val="nil"/>
                    <w:tr2bl w:val="nil"/>
                  </w:tcBorders>
                  <w:shd w:val="clear" w:color="auto" w:fill="FFFFFF"/>
                  <w:noWrap w:val="0"/>
                  <w:vAlign w:val="center"/>
                </w:tcPr>
                <w:p w14:paraId="049A2BC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Q=</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120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t/h，H=</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0m，N=1</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KW，变频</w:t>
                  </w:r>
                </w:p>
              </w:tc>
              <w:tc>
                <w:tcPr>
                  <w:tcW w:w="572" w:type="pct"/>
                  <w:tcBorders>
                    <w:tl2br w:val="nil"/>
                    <w:tr2bl w:val="nil"/>
                  </w:tcBorders>
                  <w:shd w:val="clear" w:color="auto" w:fill="FFFFFF"/>
                  <w:noWrap w:val="0"/>
                  <w:vAlign w:val="center"/>
                </w:tcPr>
                <w:p w14:paraId="778965F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2</w:t>
                  </w:r>
                </w:p>
              </w:tc>
              <w:tc>
                <w:tcPr>
                  <w:tcW w:w="1384" w:type="pct"/>
                  <w:tcBorders>
                    <w:tl2br w:val="nil"/>
                    <w:tr2bl w:val="nil"/>
                  </w:tcBorders>
                  <w:noWrap/>
                  <w:vAlign w:val="center"/>
                </w:tcPr>
                <w:p w14:paraId="6458B35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1用1备</w:t>
                  </w:r>
                </w:p>
              </w:tc>
            </w:tr>
            <w:tr w14:paraId="09107B2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691B504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8</w:t>
                  </w:r>
                </w:p>
              </w:tc>
              <w:tc>
                <w:tcPr>
                  <w:tcW w:w="1024" w:type="pct"/>
                  <w:tcBorders>
                    <w:tl2br w:val="nil"/>
                    <w:tr2bl w:val="nil"/>
                  </w:tcBorders>
                  <w:shd w:val="clear" w:color="auto" w:fill="FFFFFF"/>
                  <w:noWrap w:val="0"/>
                  <w:vAlign w:val="center"/>
                </w:tcPr>
                <w:p w14:paraId="5E02BB2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排水泵</w:t>
                  </w:r>
                </w:p>
              </w:tc>
              <w:tc>
                <w:tcPr>
                  <w:tcW w:w="1648" w:type="pct"/>
                  <w:tcBorders>
                    <w:tl2br w:val="nil"/>
                    <w:tr2bl w:val="nil"/>
                  </w:tcBorders>
                  <w:shd w:val="clear" w:color="auto" w:fill="FFFFFF"/>
                  <w:noWrap w:val="0"/>
                  <w:vAlign w:val="center"/>
                </w:tcPr>
                <w:p w14:paraId="6B6E1A6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c>
                <w:tcPr>
                  <w:tcW w:w="572" w:type="pct"/>
                  <w:tcBorders>
                    <w:tl2br w:val="nil"/>
                    <w:tr2bl w:val="nil"/>
                  </w:tcBorders>
                  <w:shd w:val="clear" w:color="auto" w:fill="FFFFFF"/>
                  <w:noWrap w:val="0"/>
                  <w:vAlign w:val="center"/>
                </w:tcPr>
                <w:p w14:paraId="6552C2EA">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2</w:t>
                  </w:r>
                </w:p>
              </w:tc>
              <w:tc>
                <w:tcPr>
                  <w:tcW w:w="1384" w:type="pct"/>
                  <w:tcBorders>
                    <w:tl2br w:val="nil"/>
                    <w:tr2bl w:val="nil"/>
                  </w:tcBorders>
                  <w:noWrap/>
                  <w:vAlign w:val="center"/>
                </w:tcPr>
                <w:p w14:paraId="5EB4130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1用1备</w:t>
                  </w:r>
                </w:p>
              </w:tc>
            </w:tr>
            <w:tr w14:paraId="3D8AF4B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4817018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9</w:t>
                  </w:r>
                </w:p>
              </w:tc>
              <w:tc>
                <w:tcPr>
                  <w:tcW w:w="1024" w:type="pct"/>
                  <w:tcBorders>
                    <w:tl2br w:val="nil"/>
                    <w:tr2bl w:val="nil"/>
                  </w:tcBorders>
                  <w:shd w:val="clear" w:color="auto" w:fill="FFFFFF"/>
                  <w:noWrap w:val="0"/>
                  <w:vAlign w:val="center"/>
                </w:tcPr>
                <w:p w14:paraId="1C49918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送风机</w:t>
                  </w:r>
                </w:p>
              </w:tc>
              <w:tc>
                <w:tcPr>
                  <w:tcW w:w="1648" w:type="pct"/>
                  <w:tcBorders>
                    <w:tl2br w:val="nil"/>
                    <w:tr2bl w:val="nil"/>
                  </w:tcBorders>
                  <w:shd w:val="clear" w:color="auto" w:fill="FFFFFF"/>
                  <w:noWrap w:val="0"/>
                  <w:vAlign w:val="center"/>
                </w:tcPr>
                <w:p w14:paraId="507B53A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风量156000m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/h，风压8200Pa，电机功率560kW，1490rpm，6kV变频</w:t>
                  </w:r>
                </w:p>
              </w:tc>
              <w:tc>
                <w:tcPr>
                  <w:tcW w:w="572" w:type="pct"/>
                  <w:tcBorders>
                    <w:tl2br w:val="nil"/>
                    <w:tr2bl w:val="nil"/>
                  </w:tcBorders>
                  <w:shd w:val="clear" w:color="auto" w:fill="FFFFFF"/>
                  <w:noWrap w:val="0"/>
                  <w:vAlign w:val="center"/>
                </w:tcPr>
                <w:p w14:paraId="2899D53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1</w:t>
                  </w:r>
                </w:p>
              </w:tc>
              <w:tc>
                <w:tcPr>
                  <w:tcW w:w="1384" w:type="pct"/>
                  <w:tcBorders>
                    <w:tl2br w:val="nil"/>
                    <w:tr2bl w:val="nil"/>
                  </w:tcBorders>
                  <w:noWrap/>
                  <w:vAlign w:val="center"/>
                </w:tcPr>
                <w:p w14:paraId="49C4BEC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风机要设置专用的降噪隔间</w:t>
                  </w:r>
                </w:p>
              </w:tc>
            </w:tr>
            <w:tr w14:paraId="765547A5">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205" w:hRule="atLeast"/>
              </w:trPr>
              <w:tc>
                <w:tcPr>
                  <w:tcW w:w="369" w:type="pct"/>
                  <w:tcBorders>
                    <w:tl2br w:val="nil"/>
                    <w:tr2bl w:val="nil"/>
                  </w:tcBorders>
                  <w:shd w:val="clear" w:color="auto" w:fill="auto"/>
                  <w:noWrap/>
                  <w:vAlign w:val="center"/>
                </w:tcPr>
                <w:p w14:paraId="6D3C730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10</w:t>
                  </w:r>
                </w:p>
              </w:tc>
              <w:tc>
                <w:tcPr>
                  <w:tcW w:w="1024" w:type="pct"/>
                  <w:tcBorders>
                    <w:tl2br w:val="nil"/>
                    <w:tr2bl w:val="nil"/>
                  </w:tcBorders>
                  <w:shd w:val="clear" w:color="auto" w:fill="FFFFFF"/>
                  <w:noWrap w:val="0"/>
                  <w:vAlign w:val="center"/>
                </w:tcPr>
                <w:p w14:paraId="1FB1836A">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起重装置</w:t>
                  </w:r>
                </w:p>
              </w:tc>
              <w:tc>
                <w:tcPr>
                  <w:tcW w:w="1648" w:type="pct"/>
                  <w:tcBorders>
                    <w:tl2br w:val="nil"/>
                    <w:tr2bl w:val="nil"/>
                  </w:tcBorders>
                  <w:shd w:val="clear" w:color="auto" w:fill="FFFFFF"/>
                  <w:noWrap w:val="0"/>
                  <w:vAlign w:val="center"/>
                </w:tcPr>
                <w:p w14:paraId="19DBDBED">
                  <w:pPr>
                    <w:keepNext w:val="0"/>
                    <w:keepLines w:val="0"/>
                    <w:widowControl/>
                    <w:suppressLineNumbers w:val="0"/>
                    <w:jc w:val="both"/>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Style w:val="226"/>
                      <w:rFonts w:hint="default" w:ascii="Times New Roman" w:hAnsi="Times New Roman" w:eastAsia="宋体" w:cs="Times New Roman"/>
                      <w:b w:val="0"/>
                      <w:bCs w:val="0"/>
                      <w:color w:val="000000" w:themeColor="text1"/>
                      <w:sz w:val="18"/>
                      <w:szCs w:val="18"/>
                      <w:highlight w:val="none"/>
                      <w:lang w:val="en-US" w:eastAsia="zh-CN" w:bidi="ar"/>
                      <w14:textFill>
                        <w14:solidFill>
                          <w14:schemeClr w14:val="tx1"/>
                        </w14:solidFill>
                      </w14:textFill>
                    </w:rPr>
                    <w:t>起重量：2.0吨，起升高度7米，电功率：3kW</w:t>
                  </w:r>
                </w:p>
              </w:tc>
              <w:tc>
                <w:tcPr>
                  <w:tcW w:w="572" w:type="pct"/>
                  <w:tcBorders>
                    <w:tl2br w:val="nil"/>
                    <w:tr2bl w:val="nil"/>
                  </w:tcBorders>
                  <w:shd w:val="clear" w:color="auto" w:fill="FFFFFF"/>
                  <w:noWrap w:val="0"/>
                  <w:vAlign w:val="center"/>
                </w:tcPr>
                <w:p w14:paraId="576CF321">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1</w:t>
                  </w:r>
                </w:p>
              </w:tc>
              <w:tc>
                <w:tcPr>
                  <w:tcW w:w="1384" w:type="pct"/>
                  <w:tcBorders>
                    <w:tl2br w:val="nil"/>
                    <w:tr2bl w:val="nil"/>
                  </w:tcBorders>
                  <w:noWrap/>
                  <w:vAlign w:val="center"/>
                </w:tcPr>
                <w:p w14:paraId="074AA22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12157503">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24D67E95">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11</w:t>
                  </w:r>
                </w:p>
              </w:tc>
              <w:tc>
                <w:tcPr>
                  <w:tcW w:w="1024" w:type="pct"/>
                  <w:tcBorders>
                    <w:tl2br w:val="nil"/>
                    <w:tr2bl w:val="nil"/>
                  </w:tcBorders>
                  <w:shd w:val="clear" w:color="auto" w:fill="FFFFFF"/>
                  <w:noWrap w:val="0"/>
                  <w:vAlign w:val="center"/>
                </w:tcPr>
                <w:p w14:paraId="053A2BE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汽水取样分析装置</w:t>
                  </w:r>
                </w:p>
              </w:tc>
              <w:tc>
                <w:tcPr>
                  <w:tcW w:w="1648" w:type="pct"/>
                  <w:tcBorders>
                    <w:tl2br w:val="nil"/>
                    <w:tr2bl w:val="nil"/>
                  </w:tcBorders>
                  <w:shd w:val="clear" w:color="auto" w:fill="FFFFFF"/>
                  <w:noWrap w:val="0"/>
                  <w:vAlign w:val="center"/>
                </w:tcPr>
                <w:p w14:paraId="2692749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工作压力：2.45MPa，电功率：6KW</w:t>
                  </w:r>
                </w:p>
              </w:tc>
              <w:tc>
                <w:tcPr>
                  <w:tcW w:w="572" w:type="pct"/>
                  <w:tcBorders>
                    <w:tl2br w:val="nil"/>
                    <w:tr2bl w:val="nil"/>
                  </w:tcBorders>
                  <w:shd w:val="clear" w:color="auto" w:fill="FFFFFF"/>
                  <w:noWrap w:val="0"/>
                  <w:vAlign w:val="center"/>
                </w:tcPr>
                <w:p w14:paraId="0130217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1</w:t>
                  </w:r>
                </w:p>
              </w:tc>
              <w:tc>
                <w:tcPr>
                  <w:tcW w:w="1384" w:type="pct"/>
                  <w:tcBorders>
                    <w:tl2br w:val="nil"/>
                    <w:tr2bl w:val="nil"/>
                  </w:tcBorders>
                  <w:shd w:val="clear" w:color="auto" w:fill="auto"/>
                  <w:noWrap/>
                  <w:vAlign w:val="center"/>
                </w:tcPr>
                <w:p w14:paraId="13997D4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0A878457">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2C69909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12</w:t>
                  </w:r>
                </w:p>
              </w:tc>
              <w:tc>
                <w:tcPr>
                  <w:tcW w:w="1024" w:type="pct"/>
                  <w:tcBorders>
                    <w:tl2br w:val="nil"/>
                    <w:tr2bl w:val="nil"/>
                  </w:tcBorders>
                  <w:shd w:val="clear" w:color="auto" w:fill="FFFFFF"/>
                  <w:noWrap w:val="0"/>
                  <w:vAlign w:val="center"/>
                </w:tcPr>
                <w:p w14:paraId="6DA485ED">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天然气调压撬</w:t>
                  </w:r>
                </w:p>
              </w:tc>
              <w:tc>
                <w:tcPr>
                  <w:tcW w:w="1648" w:type="pct"/>
                  <w:tcBorders>
                    <w:tl2br w:val="nil"/>
                    <w:tr2bl w:val="nil"/>
                  </w:tcBorders>
                  <w:shd w:val="clear" w:color="auto" w:fill="FFFFFF"/>
                  <w:noWrap w:val="0"/>
                  <w:vAlign w:val="center"/>
                </w:tcPr>
                <w:p w14:paraId="2CB7D1A8">
                  <w:pPr>
                    <w:keepNext w:val="0"/>
                    <w:keepLines w:val="0"/>
                    <w:widowControl/>
                    <w:suppressLineNumbers w:val="0"/>
                    <w:jc w:val="center"/>
                    <w:textAlignment w:val="top"/>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出口压力0.2MPa</w:t>
                  </w:r>
                </w:p>
              </w:tc>
              <w:tc>
                <w:tcPr>
                  <w:tcW w:w="572" w:type="pct"/>
                  <w:tcBorders>
                    <w:tl2br w:val="nil"/>
                    <w:tr2bl w:val="nil"/>
                  </w:tcBorders>
                  <w:shd w:val="clear" w:color="auto" w:fill="auto"/>
                  <w:noWrap w:val="0"/>
                  <w:vAlign w:val="center"/>
                </w:tcPr>
                <w:p w14:paraId="2044DAB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2</w:t>
                  </w:r>
                </w:p>
              </w:tc>
              <w:tc>
                <w:tcPr>
                  <w:tcW w:w="1384" w:type="pct"/>
                  <w:tcBorders>
                    <w:tl2br w:val="nil"/>
                    <w:tr2bl w:val="nil"/>
                  </w:tcBorders>
                  <w:shd w:val="clear" w:color="auto" w:fill="auto"/>
                  <w:noWrap/>
                  <w:vAlign w:val="center"/>
                </w:tcPr>
                <w:p w14:paraId="2F964DD0">
                  <w:pPr>
                    <w:keepNext w:val="0"/>
                    <w:keepLines w:val="0"/>
                    <w:widowControl/>
                    <w:suppressLineNumbers w:val="0"/>
                    <w:jc w:val="center"/>
                    <w:rPr>
                      <w:rFonts w:hint="default" w:ascii="Times New Roman" w:hAnsi="Times New Roman" w:eastAsia="宋体" w:cs="Times New Roman"/>
                      <w:b w:val="0"/>
                      <w:bCs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1用1备，调压装置占地面积21m</w:t>
                  </w:r>
                  <w:r>
                    <w:rPr>
                      <w:rFonts w:hint="default" w:ascii="Times New Roman" w:hAnsi="Times New Roman" w:eastAsia="宋体" w:cs="Times New Roman"/>
                      <w:b w:val="0"/>
                      <w:bCs w:val="0"/>
                      <w:color w:val="000000" w:themeColor="text1"/>
                      <w:sz w:val="18"/>
                      <w:szCs w:val="18"/>
                      <w:highlight w:val="none"/>
                      <w:vertAlign w:val="superscript"/>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18"/>
                      <w:szCs w:val="18"/>
                      <w:highlight w:val="none"/>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布置于厂内现有调压站区域内，采用半露天布置，四周加护栏，顶上加雨棚</w:t>
                  </w:r>
                </w:p>
              </w:tc>
            </w:tr>
            <w:tr w14:paraId="2FF963AE">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7A45366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13</w:t>
                  </w:r>
                </w:p>
              </w:tc>
              <w:tc>
                <w:tcPr>
                  <w:tcW w:w="1627" w:type="dxa"/>
                  <w:tcBorders>
                    <w:tl2br w:val="nil"/>
                    <w:tr2bl w:val="nil"/>
                  </w:tcBorders>
                  <w:shd w:val="clear" w:color="auto" w:fill="FFFFFF"/>
                  <w:noWrap w:val="0"/>
                  <w:vAlign w:val="center"/>
                </w:tcPr>
                <w:p w14:paraId="7BEE2842">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排污扩容器</w:t>
                  </w:r>
                </w:p>
              </w:tc>
              <w:tc>
                <w:tcPr>
                  <w:tcW w:w="1648" w:type="pct"/>
                  <w:tcBorders>
                    <w:tl2br w:val="nil"/>
                    <w:tr2bl w:val="nil"/>
                  </w:tcBorders>
                  <w:shd w:val="clear" w:color="auto" w:fill="FFFFFF"/>
                  <w:noWrap w:val="0"/>
                  <w:vAlign w:val="top"/>
                </w:tcPr>
                <w:p w14:paraId="31FEE904">
                  <w:pPr>
                    <w:keepNext w:val="0"/>
                    <w:keepLines w:val="0"/>
                    <w:widowControl/>
                    <w:suppressLineNumbers w:val="0"/>
                    <w:jc w:val="center"/>
                    <w:textAlignment w:val="top"/>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6</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3</w:t>
                  </w:r>
                </w:p>
              </w:tc>
              <w:tc>
                <w:tcPr>
                  <w:tcW w:w="572" w:type="pct"/>
                  <w:tcBorders>
                    <w:tl2br w:val="nil"/>
                    <w:tr2bl w:val="nil"/>
                  </w:tcBorders>
                  <w:noWrap/>
                  <w:vAlign w:val="center"/>
                </w:tcPr>
                <w:p w14:paraId="7425608D">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w:t>
                  </w:r>
                </w:p>
              </w:tc>
              <w:tc>
                <w:tcPr>
                  <w:tcW w:w="1384" w:type="pct"/>
                  <w:tcBorders>
                    <w:tl2br w:val="nil"/>
                    <w:tr2bl w:val="nil"/>
                  </w:tcBorders>
                  <w:noWrap/>
                  <w:vAlign w:val="center"/>
                </w:tcPr>
                <w:p w14:paraId="4ECBDF9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1FF02346">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170" w:hRule="atLeast"/>
              </w:trPr>
              <w:tc>
                <w:tcPr>
                  <w:tcW w:w="369" w:type="pct"/>
                  <w:tcBorders>
                    <w:tl2br w:val="nil"/>
                    <w:tr2bl w:val="nil"/>
                  </w:tcBorders>
                  <w:shd w:val="clear" w:color="auto" w:fill="auto"/>
                  <w:noWrap/>
                  <w:vAlign w:val="center"/>
                </w:tcPr>
                <w:p w14:paraId="2ABD77E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14</w:t>
                  </w:r>
                </w:p>
              </w:tc>
              <w:tc>
                <w:tcPr>
                  <w:tcW w:w="1627" w:type="dxa"/>
                  <w:tcBorders>
                    <w:tl2br w:val="nil"/>
                    <w:tr2bl w:val="nil"/>
                  </w:tcBorders>
                  <w:shd w:val="clear" w:color="auto" w:fill="FFFFFF"/>
                  <w:noWrap w:val="0"/>
                  <w:vAlign w:val="center"/>
                </w:tcPr>
                <w:p w14:paraId="207907A7">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i w:val="0"/>
                      <w:iCs w:val="0"/>
                      <w:color w:val="000000" w:themeColor="text1"/>
                      <w:kern w:val="0"/>
                      <w:sz w:val="18"/>
                      <w:szCs w:val="18"/>
                      <w:highlight w:val="none"/>
                      <w:u w:val="none"/>
                      <w:lang w:val="en-US" w:eastAsia="zh-CN" w:bidi="ar"/>
                      <w14:textFill>
                        <w14:solidFill>
                          <w14:schemeClr w14:val="tx1"/>
                        </w14:solidFill>
                      </w14:textFill>
                    </w:rPr>
                    <w:t>排污降温池</w:t>
                  </w:r>
                </w:p>
              </w:tc>
              <w:tc>
                <w:tcPr>
                  <w:tcW w:w="1648" w:type="pct"/>
                  <w:tcBorders>
                    <w:tl2br w:val="nil"/>
                    <w:tr2bl w:val="nil"/>
                  </w:tcBorders>
                  <w:shd w:val="clear" w:color="auto" w:fill="FFFFFF"/>
                  <w:noWrap w:val="0"/>
                  <w:vAlign w:val="top"/>
                </w:tcPr>
                <w:p w14:paraId="4A45A850">
                  <w:pPr>
                    <w:keepNext w:val="0"/>
                    <w:keepLines w:val="0"/>
                    <w:widowControl/>
                    <w:suppressLineNumbers w:val="0"/>
                    <w:jc w:val="center"/>
                    <w:textAlignment w:val="top"/>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0m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3</w:t>
                  </w:r>
                </w:p>
              </w:tc>
              <w:tc>
                <w:tcPr>
                  <w:tcW w:w="572" w:type="pct"/>
                  <w:tcBorders>
                    <w:tl2br w:val="nil"/>
                    <w:tr2bl w:val="nil"/>
                  </w:tcBorders>
                  <w:noWrap/>
                  <w:vAlign w:val="center"/>
                </w:tcPr>
                <w:p w14:paraId="6603FD52">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w:t>
                  </w:r>
                </w:p>
              </w:tc>
              <w:tc>
                <w:tcPr>
                  <w:tcW w:w="1384" w:type="pct"/>
                  <w:tcBorders>
                    <w:tl2br w:val="nil"/>
                    <w:tr2bl w:val="nil"/>
                  </w:tcBorders>
                  <w:noWrap/>
                  <w:vAlign w:val="center"/>
                </w:tcPr>
                <w:p w14:paraId="6D7A834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bl>
          <w:p w14:paraId="690A888E">
            <w:pPr>
              <w:adjustRightInd w:val="0"/>
              <w:snapToGrid w:val="0"/>
              <w:spacing w:line="40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锅</w:t>
            </w:r>
            <w:r>
              <w:rPr>
                <w:rFonts w:hint="default" w:ascii="Times New Roman" w:hAnsi="Times New Roman" w:eastAsia="宋体" w:cs="Times New Roman"/>
                <w:bCs/>
                <w:color w:val="000000" w:themeColor="text1"/>
                <w:szCs w:val="21"/>
                <w:highlight w:val="none"/>
                <w14:textFill>
                  <w14:solidFill>
                    <w14:schemeClr w14:val="tx1"/>
                  </w14:solidFill>
                </w14:textFill>
              </w:rPr>
              <w:t>炉具体参数见下表：</w:t>
            </w:r>
          </w:p>
          <w:p w14:paraId="59F6DCFB">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本次项目</w:t>
            </w:r>
            <w:r>
              <w:rPr>
                <w:rFonts w:hint="default" w:ascii="Times New Roman" w:hAnsi="Times New Roman" w:eastAsia="宋体" w:cs="Times New Roman"/>
                <w:color w:val="000000" w:themeColor="text1"/>
                <w:sz w:val="21"/>
                <w:szCs w:val="21"/>
                <w:highlight w:val="none"/>
                <w14:textFill>
                  <w14:solidFill>
                    <w14:schemeClr w14:val="tx1"/>
                  </w14:solidFill>
                </w14:textFill>
              </w:rPr>
              <w:t>锅炉设计参数表</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561"/>
              <w:gridCol w:w="2324"/>
              <w:gridCol w:w="4191"/>
            </w:tblGrid>
            <w:tr w14:paraId="293A15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tcBorders>
                    <w:top w:val="single" w:color="auto" w:sz="12" w:space="0"/>
                    <w:bottom w:val="double" w:color="auto" w:sz="4" w:space="0"/>
                  </w:tcBorders>
                  <w:vAlign w:val="center"/>
                </w:tcPr>
                <w:p w14:paraId="6BE34B8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序号</w:t>
                  </w:r>
                </w:p>
              </w:tc>
              <w:tc>
                <w:tcPr>
                  <w:tcW w:w="1438" w:type="pct"/>
                  <w:tcBorders>
                    <w:top w:val="single" w:color="auto" w:sz="12" w:space="0"/>
                    <w:bottom w:val="double" w:color="auto" w:sz="4" w:space="0"/>
                  </w:tcBorders>
                  <w:vAlign w:val="center"/>
                </w:tcPr>
                <w:p w14:paraId="1ECE78E9">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参数</w:t>
                  </w:r>
                </w:p>
              </w:tc>
              <w:tc>
                <w:tcPr>
                  <w:tcW w:w="2594" w:type="pct"/>
                  <w:tcBorders>
                    <w:top w:val="single" w:color="auto" w:sz="12" w:space="0"/>
                    <w:bottom w:val="double" w:color="auto" w:sz="4" w:space="0"/>
                  </w:tcBorders>
                  <w:vAlign w:val="center"/>
                </w:tcPr>
                <w:p w14:paraId="464A870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具体情况</w:t>
                  </w:r>
                </w:p>
              </w:tc>
            </w:tr>
            <w:tr w14:paraId="0B7112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vAlign w:val="center"/>
                </w:tcPr>
                <w:p w14:paraId="59CEB32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1438" w:type="pct"/>
                  <w:shd w:val="clear" w:color="auto" w:fill="auto"/>
                  <w:vAlign w:val="center"/>
                </w:tcPr>
                <w:p w14:paraId="444C3C7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额定</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出力</w:t>
                  </w:r>
                </w:p>
              </w:tc>
              <w:tc>
                <w:tcPr>
                  <w:tcW w:w="2594" w:type="pct"/>
                  <w:shd w:val="clear" w:color="auto" w:fill="auto"/>
                  <w:vAlign w:val="center"/>
                </w:tcPr>
                <w:p w14:paraId="7BC34DA6">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100</w:t>
                  </w:r>
                  <w:r>
                    <w:rPr>
                      <w:rFonts w:hint="default" w:ascii="Times New Roman" w:hAnsi="Times New Roman" w:eastAsia="宋体" w:cs="Times New Roman"/>
                      <w:color w:val="000000" w:themeColor="text1"/>
                      <w:sz w:val="18"/>
                      <w:szCs w:val="18"/>
                      <w:highlight w:val="none"/>
                      <w14:textFill>
                        <w14:solidFill>
                          <w14:schemeClr w14:val="tx1"/>
                        </w14:solidFill>
                      </w14:textFill>
                    </w:rPr>
                    <w:t>t/h</w:t>
                  </w:r>
                </w:p>
              </w:tc>
            </w:tr>
            <w:tr w14:paraId="346959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vAlign w:val="center"/>
                </w:tcPr>
                <w:p w14:paraId="13D4578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1438" w:type="pct"/>
                  <w:shd w:val="clear" w:color="auto" w:fill="auto"/>
                  <w:vAlign w:val="center"/>
                </w:tcPr>
                <w:p w14:paraId="7E38AC93">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燃烧方式</w:t>
                  </w:r>
                </w:p>
              </w:tc>
              <w:tc>
                <w:tcPr>
                  <w:tcW w:w="2594" w:type="pct"/>
                  <w:shd w:val="clear" w:color="auto" w:fill="auto"/>
                  <w:vAlign w:val="center"/>
                </w:tcPr>
                <w:p w14:paraId="4A978259">
                  <w:pPr>
                    <w:keepNext w:val="0"/>
                    <w:keepLines w:val="0"/>
                    <w:widowControl/>
                    <w:suppressLineNumbers w:val="0"/>
                    <w:jc w:val="left"/>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 xml:space="preserve">前墙布置 2 台燃烧器、微正压燃烧、多 </w:t>
                  </w:r>
                </w:p>
                <w:p w14:paraId="2CAD43A2">
                  <w:pPr>
                    <w:keepNext w:val="0"/>
                    <w:keepLines w:val="0"/>
                    <w:widowControl/>
                    <w:suppressLineNumbers w:val="0"/>
                    <w:jc w:val="left"/>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燃气枪、自动点火、比例调节</w:t>
                  </w:r>
                </w:p>
              </w:tc>
            </w:tr>
            <w:tr w14:paraId="2E2562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vAlign w:val="center"/>
                </w:tcPr>
                <w:p w14:paraId="709051C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1438" w:type="pct"/>
                  <w:shd w:val="clear" w:color="auto" w:fill="auto"/>
                  <w:vAlign w:val="center"/>
                </w:tcPr>
                <w:p w14:paraId="35C2C80C">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过热蒸汽</w:t>
                  </w:r>
                  <w:r>
                    <w:rPr>
                      <w:rFonts w:hint="default" w:ascii="Times New Roman" w:hAnsi="Times New Roman" w:eastAsia="宋体" w:cs="Times New Roman"/>
                      <w:color w:val="000000" w:themeColor="text1"/>
                      <w:sz w:val="18"/>
                      <w:szCs w:val="18"/>
                      <w:highlight w:val="none"/>
                      <w14:textFill>
                        <w14:solidFill>
                          <w14:schemeClr w14:val="tx1"/>
                        </w14:solidFill>
                      </w14:textFill>
                    </w:rPr>
                    <w:t>温度</w:t>
                  </w:r>
                </w:p>
              </w:tc>
              <w:tc>
                <w:tcPr>
                  <w:tcW w:w="2594" w:type="pct"/>
                  <w:shd w:val="clear" w:color="auto" w:fill="auto"/>
                  <w:vAlign w:val="center"/>
                </w:tcPr>
                <w:p w14:paraId="38EFB691">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320</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7A844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vAlign w:val="center"/>
                </w:tcPr>
                <w:p w14:paraId="3E287EA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4</w:t>
                  </w:r>
                </w:p>
              </w:tc>
              <w:tc>
                <w:tcPr>
                  <w:tcW w:w="1438" w:type="pct"/>
                  <w:shd w:val="clear" w:color="auto" w:fill="auto"/>
                  <w:vAlign w:val="center"/>
                </w:tcPr>
                <w:p w14:paraId="3C392F20">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过热蒸汽</w:t>
                  </w:r>
                  <w:r>
                    <w:rPr>
                      <w:rFonts w:hint="default" w:ascii="Times New Roman" w:hAnsi="Times New Roman" w:eastAsia="宋体" w:cs="Times New Roman"/>
                      <w:color w:val="000000" w:themeColor="text1"/>
                      <w:sz w:val="18"/>
                      <w:szCs w:val="18"/>
                      <w:highlight w:val="none"/>
                      <w14:textFill>
                        <w14:solidFill>
                          <w14:schemeClr w14:val="tx1"/>
                        </w14:solidFill>
                      </w14:textFill>
                    </w:rPr>
                    <w:t>压力</w:t>
                  </w:r>
                </w:p>
              </w:tc>
              <w:tc>
                <w:tcPr>
                  <w:tcW w:w="2594" w:type="pct"/>
                  <w:shd w:val="clear" w:color="auto" w:fill="auto"/>
                  <w:vAlign w:val="center"/>
                </w:tcPr>
                <w:p w14:paraId="353F8996">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18"/>
                      <w:szCs w:val="18"/>
                      <w:highlight w:val="none"/>
                      <w14:textFill>
                        <w14:solidFill>
                          <w14:schemeClr w14:val="tx1"/>
                        </w14:solidFill>
                      </w14:textFill>
                    </w:rPr>
                    <w:t>MPa</w:t>
                  </w:r>
                </w:p>
              </w:tc>
            </w:tr>
            <w:tr w14:paraId="393C7F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66" w:type="pct"/>
                  <w:vAlign w:val="center"/>
                </w:tcPr>
                <w:p w14:paraId="57815123">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w:t>
                  </w:r>
                </w:p>
              </w:tc>
              <w:tc>
                <w:tcPr>
                  <w:tcW w:w="1438" w:type="pct"/>
                  <w:vAlign w:val="center"/>
                </w:tcPr>
                <w:p w14:paraId="7C0C259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燃烧物料</w:t>
                  </w:r>
                </w:p>
              </w:tc>
              <w:tc>
                <w:tcPr>
                  <w:tcW w:w="2594" w:type="pct"/>
                  <w:vAlign w:val="center"/>
                </w:tcPr>
                <w:p w14:paraId="756DA7A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w:t>
                  </w:r>
                </w:p>
              </w:tc>
            </w:tr>
          </w:tbl>
          <w:p w14:paraId="03CCFB52">
            <w:pPr>
              <w:adjustRightInd w:val="0"/>
              <w:snapToGrid w:val="0"/>
              <w:spacing w:line="44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5、主要产品产能</w:t>
            </w:r>
          </w:p>
          <w:p w14:paraId="283F2E8A">
            <w:pPr>
              <w:adjustRightInd w:val="0"/>
              <w:snapToGrid w:val="0"/>
              <w:spacing w:line="400" w:lineRule="exact"/>
              <w:ind w:firstLine="420" w:firstLineChars="200"/>
              <w:rPr>
                <w:rFonts w:hint="default" w:ascii="Times New Roman" w:hAnsi="Times New Roman" w:eastAsia="宋体" w:cs="Times New Roman"/>
                <w:bCs/>
                <w:color w:val="000000" w:themeColor="text1"/>
                <w:highlight w:val="none"/>
                <w14:textFill>
                  <w14:solidFill>
                    <w14:schemeClr w14:val="tx1"/>
                  </w14:solidFill>
                </w14:textFill>
              </w:rPr>
            </w:pPr>
            <w:r>
              <w:rPr>
                <w:rFonts w:hint="default" w:ascii="Times New Roman" w:hAnsi="Times New Roman" w:eastAsia="宋体" w:cs="Times New Roman"/>
                <w:bCs/>
                <w:color w:val="000000" w:themeColor="text1"/>
                <w:highlight w:val="none"/>
                <w:lang w:val="en-US" w:eastAsia="zh-CN"/>
                <w14:textFill>
                  <w14:solidFill>
                    <w14:schemeClr w14:val="tx1"/>
                  </w14:solidFill>
                </w14:textFill>
              </w:rPr>
              <w:t>本项目建成后，全厂</w:t>
            </w:r>
            <w:r>
              <w:rPr>
                <w:rFonts w:hint="default" w:ascii="Times New Roman" w:hAnsi="Times New Roman" w:eastAsia="宋体" w:cs="Times New Roman"/>
                <w:bCs/>
                <w:color w:val="000000" w:themeColor="text1"/>
                <w:highlight w:val="none"/>
                <w14:textFill>
                  <w14:solidFill>
                    <w14:schemeClr w14:val="tx1"/>
                  </w14:solidFill>
                </w14:textFill>
              </w:rPr>
              <w:t>产品及产能见下表：</w:t>
            </w:r>
          </w:p>
          <w:p w14:paraId="25B68FF6">
            <w:pPr>
              <w:adjustRightInd w:val="0"/>
              <w:snapToGrid w:val="0"/>
              <w:spacing w:line="40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本项目建成后全厂</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主要产品及产能情况</w:t>
            </w:r>
          </w:p>
          <w:tbl>
            <w:tblPr>
              <w:tblStyle w:val="36"/>
              <w:tblW w:w="7927" w:type="dxa"/>
              <w:tblInd w:w="0" w:type="dxa"/>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44"/>
              <w:gridCol w:w="1173"/>
              <w:gridCol w:w="695"/>
              <w:gridCol w:w="954"/>
              <w:gridCol w:w="1064"/>
              <w:gridCol w:w="982"/>
              <w:gridCol w:w="1057"/>
              <w:gridCol w:w="1058"/>
            </w:tblGrid>
            <w:tr w14:paraId="7097B4E8">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95" w:type="pct"/>
                  <w:vMerge w:val="restart"/>
                  <w:tcBorders>
                    <w:top w:val="single" w:color="auto" w:sz="12" w:space="0"/>
                    <w:left w:val="single" w:color="auto" w:sz="12" w:space="0"/>
                    <w:bottom w:val="single" w:color="auto" w:sz="2" w:space="0"/>
                    <w:right w:val="single" w:color="auto" w:sz="2" w:space="0"/>
                  </w:tcBorders>
                  <w:vAlign w:val="center"/>
                </w:tcPr>
                <w:p w14:paraId="721554F5">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行业类别</w:t>
                  </w:r>
                </w:p>
              </w:tc>
              <w:tc>
                <w:tcPr>
                  <w:tcW w:w="739" w:type="pct"/>
                  <w:vMerge w:val="restart"/>
                  <w:tcBorders>
                    <w:top w:val="single" w:color="auto" w:sz="12" w:space="0"/>
                    <w:left w:val="single" w:color="auto" w:sz="2" w:space="0"/>
                    <w:bottom w:val="single" w:color="auto" w:sz="2" w:space="0"/>
                    <w:right w:val="single" w:color="auto" w:sz="2" w:space="0"/>
                  </w:tcBorders>
                  <w:vAlign w:val="center"/>
                </w:tcPr>
                <w:p w14:paraId="3B1FD4E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生产线</w:t>
                  </w:r>
                </w:p>
              </w:tc>
              <w:tc>
                <w:tcPr>
                  <w:tcW w:w="438" w:type="pct"/>
                  <w:vMerge w:val="restart"/>
                  <w:tcBorders>
                    <w:top w:val="single" w:color="auto" w:sz="12" w:space="0"/>
                    <w:left w:val="single" w:color="auto" w:sz="2" w:space="0"/>
                    <w:bottom w:val="single" w:color="auto" w:sz="2" w:space="0"/>
                    <w:right w:val="single" w:color="auto" w:sz="2" w:space="0"/>
                  </w:tcBorders>
                  <w:vAlign w:val="center"/>
                </w:tcPr>
                <w:p w14:paraId="63FAFEF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产品名称</w:t>
                  </w:r>
                </w:p>
              </w:tc>
              <w:tc>
                <w:tcPr>
                  <w:tcW w:w="1892" w:type="pct"/>
                  <w:gridSpan w:val="3"/>
                  <w:tcBorders>
                    <w:top w:val="single" w:color="auto" w:sz="12" w:space="0"/>
                    <w:left w:val="single" w:color="auto" w:sz="2" w:space="0"/>
                    <w:bottom w:val="single" w:color="auto" w:sz="2" w:space="0"/>
                    <w:right w:val="single" w:color="auto" w:sz="2" w:space="0"/>
                  </w:tcBorders>
                  <w:vAlign w:val="center"/>
                </w:tcPr>
                <w:p w14:paraId="4C93BED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生产能力</w:t>
                  </w:r>
                </w:p>
              </w:tc>
              <w:tc>
                <w:tcPr>
                  <w:tcW w:w="1334" w:type="pct"/>
                  <w:gridSpan w:val="2"/>
                  <w:tcBorders>
                    <w:top w:val="single" w:color="auto" w:sz="12" w:space="0"/>
                    <w:left w:val="single" w:color="auto" w:sz="2" w:space="0"/>
                    <w:bottom w:val="single" w:color="auto" w:sz="2" w:space="0"/>
                    <w:right w:val="single" w:color="auto" w:sz="12" w:space="0"/>
                  </w:tcBorders>
                  <w:vAlign w:val="center"/>
                </w:tcPr>
                <w:p w14:paraId="0920A72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年运行时数</w:t>
                  </w:r>
                </w:p>
              </w:tc>
            </w:tr>
            <w:tr w14:paraId="4B2C2F7A">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95" w:type="pct"/>
                  <w:vMerge w:val="continue"/>
                  <w:tcBorders>
                    <w:top w:val="single" w:color="auto" w:sz="2" w:space="0"/>
                    <w:left w:val="single" w:color="auto" w:sz="12" w:space="0"/>
                    <w:bottom w:val="single" w:color="auto" w:sz="2" w:space="0"/>
                    <w:right w:val="single" w:color="auto" w:sz="2" w:space="0"/>
                  </w:tcBorders>
                  <w:vAlign w:val="center"/>
                </w:tcPr>
                <w:p w14:paraId="749C3907">
                  <w:pPr>
                    <w:widowControl/>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9" w:type="pct"/>
                  <w:vMerge w:val="continue"/>
                  <w:tcBorders>
                    <w:top w:val="single" w:color="auto" w:sz="2" w:space="0"/>
                    <w:left w:val="single" w:color="auto" w:sz="2" w:space="0"/>
                    <w:bottom w:val="single" w:color="auto" w:sz="2" w:space="0"/>
                    <w:right w:val="single" w:color="auto" w:sz="2" w:space="0"/>
                  </w:tcBorders>
                  <w:vAlign w:val="center"/>
                </w:tcPr>
                <w:p w14:paraId="19FB2944">
                  <w:pPr>
                    <w:widowControl/>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38" w:type="pct"/>
                  <w:vMerge w:val="continue"/>
                  <w:tcBorders>
                    <w:top w:val="single" w:color="auto" w:sz="2" w:space="0"/>
                    <w:left w:val="single" w:color="auto" w:sz="2" w:space="0"/>
                    <w:bottom w:val="single" w:color="auto" w:sz="2" w:space="0"/>
                    <w:right w:val="single" w:color="auto" w:sz="2" w:space="0"/>
                  </w:tcBorders>
                  <w:vAlign w:val="center"/>
                </w:tcPr>
                <w:p w14:paraId="2A5C506F">
                  <w:pPr>
                    <w:widowControl/>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01" w:type="pct"/>
                  <w:tcBorders>
                    <w:top w:val="single" w:color="auto" w:sz="2" w:space="0"/>
                    <w:left w:val="single" w:color="auto" w:sz="2" w:space="0"/>
                    <w:bottom w:val="single" w:color="auto" w:sz="2" w:space="0"/>
                    <w:right w:val="single" w:color="auto" w:sz="2" w:space="0"/>
                  </w:tcBorders>
                  <w:vAlign w:val="center"/>
                </w:tcPr>
                <w:p w14:paraId="6214BC6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前</w:t>
                  </w:r>
                </w:p>
              </w:tc>
              <w:tc>
                <w:tcPr>
                  <w:tcW w:w="671" w:type="pct"/>
                  <w:tcBorders>
                    <w:top w:val="single" w:color="auto" w:sz="2" w:space="0"/>
                    <w:left w:val="single" w:color="auto" w:sz="2" w:space="0"/>
                    <w:bottom w:val="single" w:color="auto" w:sz="2" w:space="0"/>
                    <w:right w:val="single" w:color="auto" w:sz="2" w:space="0"/>
                  </w:tcBorders>
                  <w:vAlign w:val="center"/>
                </w:tcPr>
                <w:p w14:paraId="7CA51BD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后</w:t>
                  </w:r>
                </w:p>
              </w:tc>
              <w:tc>
                <w:tcPr>
                  <w:tcW w:w="619" w:type="pct"/>
                  <w:tcBorders>
                    <w:top w:val="single" w:color="auto" w:sz="2" w:space="0"/>
                    <w:left w:val="single" w:color="auto" w:sz="2" w:space="0"/>
                    <w:bottom w:val="single" w:color="auto" w:sz="2" w:space="0"/>
                    <w:right w:val="single" w:color="auto" w:sz="2" w:space="0"/>
                  </w:tcBorders>
                  <w:vAlign w:val="center"/>
                </w:tcPr>
                <w:p w14:paraId="4FA7EFCF">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变化量</w:t>
                  </w:r>
                </w:p>
              </w:tc>
              <w:tc>
                <w:tcPr>
                  <w:tcW w:w="666" w:type="pct"/>
                  <w:tcBorders>
                    <w:top w:val="single" w:color="auto" w:sz="2" w:space="0"/>
                    <w:left w:val="single" w:color="auto" w:sz="2" w:space="0"/>
                    <w:bottom w:val="single" w:color="auto" w:sz="2" w:space="0"/>
                    <w:right w:val="single" w:color="000000" w:sz="2" w:space="0"/>
                  </w:tcBorders>
                  <w:vAlign w:val="center"/>
                </w:tcPr>
                <w:p w14:paraId="584EA03B">
                  <w:pPr>
                    <w:widowControl/>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改建前</w:t>
                  </w:r>
                </w:p>
              </w:tc>
              <w:tc>
                <w:tcPr>
                  <w:tcW w:w="667" w:type="pct"/>
                  <w:tcBorders>
                    <w:top w:val="single" w:color="auto" w:sz="2" w:space="0"/>
                    <w:left w:val="single" w:color="000000" w:sz="2" w:space="0"/>
                    <w:bottom w:val="single" w:color="auto" w:sz="2" w:space="0"/>
                    <w:right w:val="single" w:color="auto" w:sz="12" w:space="0"/>
                  </w:tcBorders>
                  <w:vAlign w:val="center"/>
                </w:tcPr>
                <w:p w14:paraId="50C4ACC8">
                  <w:pPr>
                    <w:widowControl/>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改建后</w:t>
                  </w:r>
                </w:p>
              </w:tc>
            </w:tr>
            <w:tr w14:paraId="3868055C">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595" w:type="pct"/>
                  <w:vMerge w:val="restart"/>
                  <w:tcBorders>
                    <w:top w:val="single" w:color="auto" w:sz="2" w:space="0"/>
                    <w:left w:val="single" w:color="auto" w:sz="12" w:space="0"/>
                    <w:bottom w:val="single" w:color="auto" w:sz="2" w:space="0"/>
                    <w:right w:val="single" w:color="auto" w:sz="2" w:space="0"/>
                  </w:tcBorders>
                  <w:vAlign w:val="center"/>
                </w:tcPr>
                <w:p w14:paraId="08BE96C1">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[D4412]热电联产</w:t>
                  </w:r>
                </w:p>
              </w:tc>
              <w:tc>
                <w:tcPr>
                  <w:tcW w:w="739" w:type="pct"/>
                  <w:vMerge w:val="restart"/>
                  <w:tcBorders>
                    <w:top w:val="single" w:color="auto" w:sz="2" w:space="0"/>
                    <w:left w:val="single" w:color="auto" w:sz="2" w:space="0"/>
                    <w:bottom w:val="single" w:color="auto" w:sz="2" w:space="0"/>
                    <w:right w:val="single" w:color="auto" w:sz="2" w:space="0"/>
                  </w:tcBorders>
                  <w:vAlign w:val="center"/>
                </w:tcPr>
                <w:p w14:paraId="25D162E6">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1#、2#热电联产机组</w:t>
                  </w:r>
                </w:p>
              </w:tc>
              <w:tc>
                <w:tcPr>
                  <w:tcW w:w="438" w:type="pct"/>
                  <w:tcBorders>
                    <w:top w:val="single" w:color="auto" w:sz="2" w:space="0"/>
                    <w:left w:val="single" w:color="auto" w:sz="2" w:space="0"/>
                    <w:bottom w:val="single" w:color="auto" w:sz="2" w:space="0"/>
                    <w:right w:val="single" w:color="auto" w:sz="2" w:space="0"/>
                  </w:tcBorders>
                  <w:vAlign w:val="center"/>
                </w:tcPr>
                <w:p w14:paraId="481647D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蒸汽</w:t>
                  </w:r>
                </w:p>
              </w:tc>
              <w:tc>
                <w:tcPr>
                  <w:tcW w:w="601" w:type="pct"/>
                  <w:tcBorders>
                    <w:top w:val="single" w:color="auto" w:sz="2" w:space="0"/>
                    <w:left w:val="single" w:color="auto" w:sz="2" w:space="0"/>
                    <w:bottom w:val="single" w:color="auto" w:sz="2" w:space="0"/>
                    <w:right w:val="single" w:color="auto" w:sz="2" w:space="0"/>
                  </w:tcBorders>
                  <w:vAlign w:val="center"/>
                </w:tcPr>
                <w:p w14:paraId="44EF160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462.27万 GJ/a</w:t>
                  </w:r>
                </w:p>
              </w:tc>
              <w:tc>
                <w:tcPr>
                  <w:tcW w:w="671" w:type="pct"/>
                  <w:tcBorders>
                    <w:top w:val="single" w:color="auto" w:sz="2" w:space="0"/>
                    <w:left w:val="single" w:color="auto" w:sz="2" w:space="0"/>
                    <w:bottom w:val="single" w:color="auto" w:sz="2" w:space="0"/>
                    <w:right w:val="single" w:color="auto" w:sz="2" w:space="0"/>
                  </w:tcBorders>
                  <w:vAlign w:val="center"/>
                </w:tcPr>
                <w:p w14:paraId="29EC9A64">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397.72万 GJ/a</w:t>
                  </w:r>
                </w:p>
              </w:tc>
              <w:tc>
                <w:tcPr>
                  <w:tcW w:w="619" w:type="pct"/>
                  <w:tcBorders>
                    <w:top w:val="single" w:color="auto" w:sz="2" w:space="0"/>
                    <w:left w:val="single" w:color="auto" w:sz="2" w:space="0"/>
                    <w:bottom w:val="single" w:color="auto" w:sz="2" w:space="0"/>
                    <w:right w:val="single" w:color="auto" w:sz="2" w:space="0"/>
                  </w:tcBorders>
                  <w:vAlign w:val="center"/>
                </w:tcPr>
                <w:p w14:paraId="7D269BFC">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-64.55万 GJ/a</w:t>
                  </w:r>
                </w:p>
              </w:tc>
              <w:tc>
                <w:tcPr>
                  <w:tcW w:w="666" w:type="pct"/>
                  <w:vMerge w:val="restart"/>
                  <w:tcBorders>
                    <w:top w:val="single" w:color="auto" w:sz="2" w:space="0"/>
                    <w:left w:val="single" w:color="auto" w:sz="2" w:space="0"/>
                    <w:bottom w:val="single" w:color="auto" w:sz="2" w:space="0"/>
                    <w:right w:val="single" w:color="000000" w:sz="2" w:space="0"/>
                  </w:tcBorders>
                  <w:vAlign w:val="center"/>
                </w:tcPr>
                <w:p w14:paraId="6199F9AE">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5500h</w:t>
                  </w:r>
                </w:p>
              </w:tc>
              <w:tc>
                <w:tcPr>
                  <w:tcW w:w="667" w:type="pct"/>
                  <w:vMerge w:val="restart"/>
                  <w:tcBorders>
                    <w:top w:val="single" w:color="auto" w:sz="2" w:space="0"/>
                    <w:left w:val="single" w:color="000000" w:sz="2" w:space="0"/>
                    <w:bottom w:val="single" w:color="auto" w:sz="2" w:space="0"/>
                    <w:right w:val="single" w:color="auto" w:sz="12" w:space="0"/>
                  </w:tcBorders>
                  <w:vAlign w:val="center"/>
                </w:tcPr>
                <w:p w14:paraId="378F80ED">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5000h</w:t>
                  </w:r>
                </w:p>
              </w:tc>
            </w:tr>
            <w:tr w14:paraId="092A9343">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95" w:type="pct"/>
                  <w:vMerge w:val="continue"/>
                  <w:tcBorders>
                    <w:top w:val="single" w:color="auto" w:sz="2" w:space="0"/>
                    <w:left w:val="single" w:color="auto" w:sz="12" w:space="0"/>
                    <w:bottom w:val="single" w:color="auto" w:sz="2" w:space="0"/>
                    <w:right w:val="single" w:color="auto" w:sz="2" w:space="0"/>
                  </w:tcBorders>
                  <w:vAlign w:val="center"/>
                </w:tcPr>
                <w:p w14:paraId="484D6C80">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739" w:type="pct"/>
                  <w:vMerge w:val="continue"/>
                  <w:tcBorders>
                    <w:top w:val="single" w:color="auto" w:sz="2" w:space="0"/>
                    <w:left w:val="single" w:color="auto" w:sz="2" w:space="0"/>
                    <w:bottom w:val="single" w:color="auto" w:sz="2" w:space="0"/>
                    <w:right w:val="single" w:color="auto" w:sz="2" w:space="0"/>
                  </w:tcBorders>
                  <w:vAlign w:val="center"/>
                </w:tcPr>
                <w:p w14:paraId="0DD6B07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438" w:type="pct"/>
                  <w:tcBorders>
                    <w:top w:val="single" w:color="auto" w:sz="2" w:space="0"/>
                    <w:left w:val="single" w:color="auto" w:sz="2" w:space="0"/>
                    <w:bottom w:val="single" w:color="auto" w:sz="2" w:space="0"/>
                    <w:right w:val="single" w:color="auto" w:sz="2" w:space="0"/>
                  </w:tcBorders>
                  <w:vAlign w:val="center"/>
                </w:tcPr>
                <w:p w14:paraId="39FF1BEB">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电</w:t>
                  </w:r>
                </w:p>
              </w:tc>
              <w:tc>
                <w:tcPr>
                  <w:tcW w:w="601" w:type="pct"/>
                  <w:tcBorders>
                    <w:top w:val="single" w:color="auto" w:sz="2" w:space="0"/>
                    <w:left w:val="single" w:color="auto" w:sz="2" w:space="0"/>
                    <w:bottom w:val="single" w:color="auto" w:sz="2" w:space="0"/>
                    <w:right w:val="single" w:color="auto" w:sz="2" w:space="0"/>
                  </w:tcBorders>
                  <w:vAlign w:val="center"/>
                </w:tcPr>
                <w:p w14:paraId="3FC1C00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15.27亿kWh/a</w:t>
                  </w:r>
                </w:p>
              </w:tc>
              <w:tc>
                <w:tcPr>
                  <w:tcW w:w="671" w:type="pct"/>
                  <w:tcBorders>
                    <w:top w:val="single" w:color="auto" w:sz="2" w:space="0"/>
                    <w:left w:val="single" w:color="auto" w:sz="2" w:space="0"/>
                    <w:bottom w:val="single" w:color="auto" w:sz="2" w:space="0"/>
                    <w:right w:val="single" w:color="auto" w:sz="2" w:space="0"/>
                  </w:tcBorders>
                  <w:vAlign w:val="center"/>
                </w:tcPr>
                <w:p w14:paraId="3102741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13.13亿kWh/a</w:t>
                  </w:r>
                </w:p>
              </w:tc>
              <w:tc>
                <w:tcPr>
                  <w:tcW w:w="619" w:type="pct"/>
                  <w:tcBorders>
                    <w:top w:val="single" w:color="auto" w:sz="2" w:space="0"/>
                    <w:left w:val="single" w:color="auto" w:sz="2" w:space="0"/>
                    <w:bottom w:val="single" w:color="auto" w:sz="2" w:space="0"/>
                    <w:right w:val="single" w:color="auto" w:sz="2" w:space="0"/>
                  </w:tcBorders>
                  <w:vAlign w:val="center"/>
                </w:tcPr>
                <w:p w14:paraId="44E8E52E">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-2.14亿kWh/a</w:t>
                  </w:r>
                </w:p>
              </w:tc>
              <w:tc>
                <w:tcPr>
                  <w:tcW w:w="666" w:type="pct"/>
                  <w:vMerge w:val="continue"/>
                  <w:tcBorders>
                    <w:top w:val="single" w:color="auto" w:sz="2" w:space="0"/>
                    <w:left w:val="single" w:color="auto" w:sz="2" w:space="0"/>
                    <w:bottom w:val="single" w:color="auto" w:sz="2" w:space="0"/>
                    <w:right w:val="single" w:color="000000" w:sz="2" w:space="0"/>
                  </w:tcBorders>
                  <w:vAlign w:val="center"/>
                </w:tcPr>
                <w:p w14:paraId="57231DE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667" w:type="pct"/>
                  <w:vMerge w:val="continue"/>
                  <w:tcBorders>
                    <w:top w:val="single" w:color="auto" w:sz="2" w:space="0"/>
                    <w:left w:val="single" w:color="000000" w:sz="2" w:space="0"/>
                    <w:bottom w:val="single" w:color="auto" w:sz="2" w:space="0"/>
                    <w:right w:val="single" w:color="auto" w:sz="12" w:space="0"/>
                  </w:tcBorders>
                  <w:vAlign w:val="center"/>
                </w:tcPr>
                <w:p w14:paraId="616605E5">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r>
            <w:tr w14:paraId="20B080B3">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95" w:type="pct"/>
                  <w:vMerge w:val="restart"/>
                  <w:tcBorders>
                    <w:top w:val="single" w:color="auto" w:sz="2" w:space="0"/>
                    <w:left w:val="single" w:color="auto" w:sz="12" w:space="0"/>
                    <w:bottom w:val="single" w:color="auto" w:sz="2" w:space="0"/>
                    <w:right w:val="single" w:color="auto" w:sz="2" w:space="0"/>
                  </w:tcBorders>
                  <w:vAlign w:val="center"/>
                </w:tcPr>
                <w:p w14:paraId="62A306D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[D4430]热力生产和供应</w:t>
                  </w:r>
                </w:p>
              </w:tc>
              <w:tc>
                <w:tcPr>
                  <w:tcW w:w="739" w:type="pct"/>
                  <w:tcBorders>
                    <w:top w:val="single" w:color="auto" w:sz="2" w:space="0"/>
                    <w:left w:val="single" w:color="auto" w:sz="2" w:space="0"/>
                    <w:bottom w:val="single" w:color="auto" w:sz="2" w:space="0"/>
                    <w:right w:val="single" w:color="auto" w:sz="2" w:space="0"/>
                  </w:tcBorders>
                  <w:vAlign w:val="center"/>
                </w:tcPr>
                <w:p w14:paraId="0700D84D">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50t/h燃气蒸汽锅炉</w:t>
                  </w:r>
                </w:p>
                <w:p w14:paraId="38A5025E">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（备用）</w:t>
                  </w:r>
                </w:p>
              </w:tc>
              <w:tc>
                <w:tcPr>
                  <w:tcW w:w="438" w:type="pct"/>
                  <w:vMerge w:val="restart"/>
                  <w:tcBorders>
                    <w:top w:val="single" w:color="auto" w:sz="2" w:space="0"/>
                    <w:left w:val="single" w:color="auto" w:sz="2" w:space="0"/>
                    <w:bottom w:val="single" w:color="auto" w:sz="2" w:space="0"/>
                    <w:right w:val="single" w:color="auto" w:sz="2" w:space="0"/>
                  </w:tcBorders>
                  <w:vAlign w:val="center"/>
                </w:tcPr>
                <w:p w14:paraId="109F78A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蒸汽</w:t>
                  </w:r>
                </w:p>
              </w:tc>
              <w:tc>
                <w:tcPr>
                  <w:tcW w:w="601" w:type="pct"/>
                  <w:tcBorders>
                    <w:top w:val="single" w:color="auto" w:sz="2" w:space="0"/>
                    <w:left w:val="single" w:color="auto" w:sz="2" w:space="0"/>
                    <w:bottom w:val="single" w:color="auto" w:sz="2" w:space="0"/>
                    <w:right w:val="single" w:color="auto" w:sz="2" w:space="0"/>
                  </w:tcBorders>
                  <w:vAlign w:val="center"/>
                </w:tcPr>
                <w:p w14:paraId="16693F86">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17.93GJ/a</w:t>
                  </w:r>
                </w:p>
              </w:tc>
              <w:tc>
                <w:tcPr>
                  <w:tcW w:w="671" w:type="pct"/>
                  <w:tcBorders>
                    <w:top w:val="single" w:color="auto" w:sz="2" w:space="0"/>
                    <w:left w:val="single" w:color="auto" w:sz="2" w:space="0"/>
                    <w:bottom w:val="single" w:color="auto" w:sz="2" w:space="0"/>
                    <w:right w:val="single" w:color="auto" w:sz="2" w:space="0"/>
                  </w:tcBorders>
                  <w:vAlign w:val="center"/>
                </w:tcPr>
                <w:p w14:paraId="5F13E0F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17.93GJ/a</w:t>
                  </w:r>
                </w:p>
              </w:tc>
              <w:tc>
                <w:tcPr>
                  <w:tcW w:w="619" w:type="pct"/>
                  <w:tcBorders>
                    <w:top w:val="single" w:color="auto" w:sz="2" w:space="0"/>
                    <w:left w:val="single" w:color="auto" w:sz="2" w:space="0"/>
                    <w:bottom w:val="single" w:color="auto" w:sz="2" w:space="0"/>
                    <w:right w:val="single" w:color="auto" w:sz="2" w:space="0"/>
                  </w:tcBorders>
                  <w:vAlign w:val="center"/>
                </w:tcPr>
                <w:p w14:paraId="44FC95CA">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w:t>
                  </w:r>
                </w:p>
              </w:tc>
              <w:tc>
                <w:tcPr>
                  <w:tcW w:w="666" w:type="pct"/>
                  <w:tcBorders>
                    <w:top w:val="single" w:color="auto" w:sz="2" w:space="0"/>
                    <w:left w:val="single" w:color="auto" w:sz="2" w:space="0"/>
                    <w:bottom w:val="single" w:color="auto" w:sz="2" w:space="0"/>
                    <w:right w:val="single" w:color="000000" w:sz="2" w:space="0"/>
                  </w:tcBorders>
                  <w:vAlign w:val="center"/>
                </w:tcPr>
                <w:p w14:paraId="63B9D14C">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1200h</w:t>
                  </w:r>
                </w:p>
              </w:tc>
              <w:tc>
                <w:tcPr>
                  <w:tcW w:w="667" w:type="pct"/>
                  <w:tcBorders>
                    <w:top w:val="single" w:color="auto" w:sz="2" w:space="0"/>
                    <w:left w:val="single" w:color="000000" w:sz="2" w:space="0"/>
                    <w:bottom w:val="single" w:color="auto" w:sz="2" w:space="0"/>
                    <w:right w:val="single" w:color="auto" w:sz="12" w:space="0"/>
                  </w:tcBorders>
                  <w:vAlign w:val="center"/>
                </w:tcPr>
                <w:p w14:paraId="3BCF96B6">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1200h</w:t>
                  </w:r>
                </w:p>
              </w:tc>
            </w:tr>
            <w:tr w14:paraId="556F18AC">
              <w:tblPrEx>
                <w:tblBorders>
                  <w:top w:val="single" w:color="auto" w:sz="12" w:space="0"/>
                  <w:left w:val="single" w:color="auto" w:sz="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95" w:type="pct"/>
                  <w:vMerge w:val="continue"/>
                  <w:tcBorders>
                    <w:top w:val="single" w:color="auto" w:sz="2" w:space="0"/>
                    <w:left w:val="single" w:color="auto" w:sz="12" w:space="0"/>
                    <w:bottom w:val="single" w:color="auto" w:sz="12" w:space="0"/>
                    <w:right w:val="single" w:color="auto" w:sz="2" w:space="0"/>
                  </w:tcBorders>
                  <w:vAlign w:val="center"/>
                </w:tcPr>
                <w:p w14:paraId="0900F6D5">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739" w:type="pct"/>
                  <w:tcBorders>
                    <w:top w:val="single" w:color="auto" w:sz="2" w:space="0"/>
                    <w:left w:val="single" w:color="auto" w:sz="2" w:space="0"/>
                    <w:bottom w:val="single" w:color="auto" w:sz="12" w:space="0"/>
                    <w:right w:val="single" w:color="auto" w:sz="2" w:space="0"/>
                  </w:tcBorders>
                  <w:vAlign w:val="center"/>
                </w:tcPr>
                <w:p w14:paraId="44D7E531">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100t/h燃气蒸汽锅炉（备用）</w:t>
                  </w:r>
                </w:p>
              </w:tc>
              <w:tc>
                <w:tcPr>
                  <w:tcW w:w="438" w:type="pct"/>
                  <w:vMerge w:val="continue"/>
                  <w:tcBorders>
                    <w:top w:val="single" w:color="auto" w:sz="2" w:space="0"/>
                    <w:left w:val="single" w:color="auto" w:sz="2" w:space="0"/>
                    <w:bottom w:val="single" w:color="auto" w:sz="12" w:space="0"/>
                    <w:right w:val="single" w:color="auto" w:sz="2" w:space="0"/>
                  </w:tcBorders>
                  <w:vAlign w:val="center"/>
                </w:tcPr>
                <w:p w14:paraId="0F840E04">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601" w:type="pct"/>
                  <w:tcBorders>
                    <w:top w:val="single" w:color="auto" w:sz="2" w:space="0"/>
                    <w:left w:val="single" w:color="auto" w:sz="2" w:space="0"/>
                    <w:bottom w:val="single" w:color="auto" w:sz="12" w:space="0"/>
                    <w:right w:val="single" w:color="auto" w:sz="2" w:space="0"/>
                  </w:tcBorders>
                  <w:vAlign w:val="center"/>
                </w:tcPr>
                <w:p w14:paraId="5197DEB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w:t>
                  </w:r>
                </w:p>
              </w:tc>
              <w:tc>
                <w:tcPr>
                  <w:tcW w:w="671" w:type="pct"/>
                  <w:tcBorders>
                    <w:top w:val="single" w:color="auto" w:sz="2" w:space="0"/>
                    <w:left w:val="single" w:color="auto" w:sz="2" w:space="0"/>
                    <w:bottom w:val="single" w:color="auto" w:sz="12" w:space="0"/>
                    <w:right w:val="single" w:color="auto" w:sz="2" w:space="0"/>
                  </w:tcBorders>
                  <w:vAlign w:val="center"/>
                </w:tcPr>
                <w:p w14:paraId="68241AE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64.55GJ/a</w:t>
                  </w:r>
                </w:p>
              </w:tc>
              <w:tc>
                <w:tcPr>
                  <w:tcW w:w="619" w:type="pct"/>
                  <w:tcBorders>
                    <w:top w:val="single" w:color="auto" w:sz="2" w:space="0"/>
                    <w:left w:val="single" w:color="auto" w:sz="2" w:space="0"/>
                    <w:bottom w:val="single" w:color="auto" w:sz="12" w:space="0"/>
                    <w:right w:val="single" w:color="auto" w:sz="2" w:space="0"/>
                  </w:tcBorders>
                  <w:vAlign w:val="center"/>
                </w:tcPr>
                <w:p w14:paraId="30195C5F">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+64.55GJ/a</w:t>
                  </w:r>
                </w:p>
              </w:tc>
              <w:tc>
                <w:tcPr>
                  <w:tcW w:w="666" w:type="pct"/>
                  <w:tcBorders>
                    <w:top w:val="single" w:color="auto" w:sz="2" w:space="0"/>
                    <w:left w:val="single" w:color="auto" w:sz="2" w:space="0"/>
                    <w:bottom w:val="single" w:color="auto" w:sz="12" w:space="0"/>
                    <w:right w:val="single" w:color="000000" w:sz="2" w:space="0"/>
                  </w:tcBorders>
                  <w:vAlign w:val="center"/>
                </w:tcPr>
                <w:p w14:paraId="49D39B0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w:t>
                  </w:r>
                </w:p>
              </w:tc>
              <w:tc>
                <w:tcPr>
                  <w:tcW w:w="667" w:type="pct"/>
                  <w:tcBorders>
                    <w:top w:val="single" w:color="auto" w:sz="2" w:space="0"/>
                    <w:left w:val="single" w:color="000000" w:sz="2" w:space="0"/>
                    <w:bottom w:val="single" w:color="auto" w:sz="12" w:space="0"/>
                    <w:right w:val="single" w:color="auto" w:sz="12" w:space="0"/>
                  </w:tcBorders>
                  <w:vAlign w:val="center"/>
                </w:tcPr>
                <w:p w14:paraId="3534442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2160h</w:t>
                  </w:r>
                </w:p>
              </w:tc>
            </w:tr>
          </w:tbl>
          <w:p w14:paraId="5C322521">
            <w:pPr>
              <w:adjustRightInd w:val="0"/>
              <w:snapToGrid w:val="0"/>
              <w:spacing w:line="44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6、公用及辅助工程</w:t>
            </w:r>
          </w:p>
          <w:p w14:paraId="125929D6">
            <w:pPr>
              <w:adjustRightInd w:val="0"/>
              <w:snapToGrid w:val="0"/>
              <w:spacing w:line="400" w:lineRule="exact"/>
              <w:ind w:firstLine="420" w:firstLineChars="200"/>
              <w:jc w:val="left"/>
              <w:rPr>
                <w:rFonts w:hint="eastAsia"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项目主要建设内容详见</w:t>
            </w:r>
            <w:r>
              <w:rPr>
                <w:rFonts w:hint="eastAsia" w:cs="Times New Roman"/>
                <w:bCs/>
                <w:color w:val="000000" w:themeColor="text1"/>
                <w:szCs w:val="21"/>
                <w:highlight w:val="none"/>
                <w:lang w:val="en-US" w:eastAsia="zh-CN"/>
                <w14:textFill>
                  <w14:solidFill>
                    <w14:schemeClr w14:val="tx1"/>
                  </w14:solidFill>
                </w14:textFill>
              </w:rPr>
              <w:t>下表</w:t>
            </w:r>
          </w:p>
          <w:p w14:paraId="5FBB74C9">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项目主要建设内容</w:t>
            </w:r>
          </w:p>
          <w:tbl>
            <w:tblPr>
              <w:tblStyle w:val="36"/>
              <w:tblW w:w="5000"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0" w:type="dxa"/>
                <w:bottom w:w="0" w:type="dxa"/>
                <w:right w:w="0" w:type="dxa"/>
              </w:tblCellMar>
            </w:tblPr>
            <w:tblGrid>
              <w:gridCol w:w="532"/>
              <w:gridCol w:w="584"/>
              <w:gridCol w:w="976"/>
              <w:gridCol w:w="1339"/>
              <w:gridCol w:w="61"/>
              <w:gridCol w:w="1235"/>
              <w:gridCol w:w="43"/>
              <w:gridCol w:w="1340"/>
              <w:gridCol w:w="1966"/>
            </w:tblGrid>
            <w:tr w14:paraId="70E510D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restart"/>
                  <w:tcBorders>
                    <w:tl2br w:val="nil"/>
                    <w:tr2bl w:val="nil"/>
                  </w:tcBorders>
                  <w:noWrap w:val="0"/>
                  <w:vAlign w:val="center"/>
                </w:tcPr>
                <w:p w14:paraId="57A6E943">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类别</w:t>
                  </w:r>
                </w:p>
              </w:tc>
              <w:tc>
                <w:tcPr>
                  <w:tcW w:w="965" w:type="pct"/>
                  <w:gridSpan w:val="2"/>
                  <w:vMerge w:val="restart"/>
                  <w:tcBorders>
                    <w:tl2br w:val="nil"/>
                    <w:tr2bl w:val="nil"/>
                  </w:tcBorders>
                  <w:noWrap w:val="0"/>
                  <w:vAlign w:val="center"/>
                </w:tcPr>
                <w:p w14:paraId="07B69E38">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建设名称</w:t>
                  </w:r>
                </w:p>
              </w:tc>
              <w:tc>
                <w:tcPr>
                  <w:tcW w:w="2487" w:type="pct"/>
                  <w:gridSpan w:val="5"/>
                  <w:tcBorders>
                    <w:tl2br w:val="nil"/>
                    <w:tr2bl w:val="nil"/>
                  </w:tcBorders>
                  <w:noWrap w:val="0"/>
                  <w:vAlign w:val="center"/>
                </w:tcPr>
                <w:p w14:paraId="55A97B3E">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设计能力</w:t>
                  </w:r>
                </w:p>
              </w:tc>
              <w:tc>
                <w:tcPr>
                  <w:tcW w:w="1217" w:type="pct"/>
                  <w:vMerge w:val="restart"/>
                  <w:tcBorders>
                    <w:tl2br w:val="nil"/>
                    <w:tr2bl w:val="nil"/>
                  </w:tcBorders>
                  <w:noWrap w:val="0"/>
                  <w:vAlign w:val="center"/>
                </w:tcPr>
                <w:p w14:paraId="15731E7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备注</w:t>
                  </w:r>
                </w:p>
              </w:tc>
            </w:tr>
            <w:tr w14:paraId="33D8E02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continue"/>
                  <w:tcBorders>
                    <w:tl2br w:val="nil"/>
                    <w:tr2bl w:val="nil"/>
                  </w:tcBorders>
                  <w:noWrap w:val="0"/>
                  <w:vAlign w:val="center"/>
                </w:tcPr>
                <w:p w14:paraId="4B678453">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965" w:type="pct"/>
                  <w:gridSpan w:val="2"/>
                  <w:vMerge w:val="continue"/>
                  <w:tcBorders>
                    <w:tl2br w:val="nil"/>
                    <w:tr2bl w:val="nil"/>
                  </w:tcBorders>
                  <w:noWrap w:val="0"/>
                  <w:vAlign w:val="center"/>
                </w:tcPr>
                <w:p w14:paraId="1490B5A7">
                  <w:pPr>
                    <w:pStyle w:val="11"/>
                    <w:keepNext w:val="0"/>
                    <w:keepLines w:val="0"/>
                    <w:pageBreakBefore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866" w:type="pct"/>
                  <w:gridSpan w:val="2"/>
                  <w:tcBorders>
                    <w:tl2br w:val="nil"/>
                    <w:tr2bl w:val="nil"/>
                  </w:tcBorders>
                  <w:noWrap w:val="0"/>
                  <w:vAlign w:val="center"/>
                </w:tcPr>
                <w:p w14:paraId="03E4ED59">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改建前</w:t>
                  </w:r>
                </w:p>
              </w:tc>
              <w:tc>
                <w:tcPr>
                  <w:tcW w:w="764" w:type="pct"/>
                  <w:tcBorders>
                    <w:tl2br w:val="nil"/>
                    <w:tr2bl w:val="nil"/>
                  </w:tcBorders>
                  <w:noWrap w:val="0"/>
                  <w:vAlign w:val="center"/>
                </w:tcPr>
                <w:p w14:paraId="7360E664">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改建后</w:t>
                  </w:r>
                </w:p>
              </w:tc>
              <w:tc>
                <w:tcPr>
                  <w:tcW w:w="856" w:type="pct"/>
                  <w:gridSpan w:val="2"/>
                  <w:tcBorders>
                    <w:tl2br w:val="nil"/>
                    <w:tr2bl w:val="nil"/>
                  </w:tcBorders>
                  <w:noWrap w:val="0"/>
                  <w:vAlign w:val="center"/>
                </w:tcPr>
                <w:p w14:paraId="3EEAFA91">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增减量</w:t>
                  </w:r>
                </w:p>
              </w:tc>
              <w:tc>
                <w:tcPr>
                  <w:tcW w:w="1217" w:type="pct"/>
                  <w:vMerge w:val="continue"/>
                  <w:tcBorders>
                    <w:tl2br w:val="nil"/>
                    <w:tr2bl w:val="nil"/>
                  </w:tcBorders>
                  <w:noWrap w:val="0"/>
                  <w:vAlign w:val="center"/>
                </w:tcPr>
                <w:p w14:paraId="1C575647">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r>
            <w:tr w14:paraId="4C2CC5B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329" w:type="pct"/>
                  <w:vMerge w:val="restart"/>
                  <w:tcBorders>
                    <w:tl2br w:val="nil"/>
                    <w:tr2bl w:val="nil"/>
                  </w:tcBorders>
                  <w:noWrap w:val="0"/>
                  <w:vAlign w:val="center"/>
                </w:tcPr>
                <w:p w14:paraId="3B8DA05D">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主体工程</w:t>
                  </w:r>
                </w:p>
              </w:tc>
              <w:tc>
                <w:tcPr>
                  <w:tcW w:w="965" w:type="pct"/>
                  <w:gridSpan w:val="2"/>
                  <w:tcBorders>
                    <w:tl2br w:val="nil"/>
                    <w:tr2bl w:val="nil"/>
                  </w:tcBorders>
                  <w:noWrap w:val="0"/>
                  <w:vAlign w:val="center"/>
                </w:tcPr>
                <w:p w14:paraId="6759FA33">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热电联产机组</w:t>
                  </w:r>
                </w:p>
              </w:tc>
              <w:tc>
                <w:tcPr>
                  <w:tcW w:w="866" w:type="pct"/>
                  <w:gridSpan w:val="2"/>
                  <w:tcBorders>
                    <w:tl2br w:val="nil"/>
                    <w:tr2bl w:val="nil"/>
                  </w:tcBorders>
                  <w:noWrap w:val="0"/>
                  <w:vAlign w:val="center"/>
                </w:tcPr>
                <w:p w14:paraId="6CCC1BF2">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t>180MW，两套</w:t>
                  </w:r>
                </w:p>
              </w:tc>
              <w:tc>
                <w:tcPr>
                  <w:tcW w:w="764" w:type="pct"/>
                  <w:tcBorders>
                    <w:tl2br w:val="nil"/>
                    <w:tr2bl w:val="nil"/>
                  </w:tcBorders>
                  <w:noWrap w:val="0"/>
                  <w:vAlign w:val="center"/>
                </w:tcPr>
                <w:p w14:paraId="11CEFE78">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t>180MW，两套</w:t>
                  </w:r>
                </w:p>
              </w:tc>
              <w:tc>
                <w:tcPr>
                  <w:tcW w:w="856" w:type="pct"/>
                  <w:gridSpan w:val="2"/>
                  <w:tcBorders>
                    <w:tl2br w:val="nil"/>
                    <w:tr2bl w:val="nil"/>
                  </w:tcBorders>
                  <w:noWrap w:val="0"/>
                  <w:vAlign w:val="center"/>
                </w:tcPr>
                <w:p w14:paraId="12A38BF2">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不变</w:t>
                  </w:r>
                </w:p>
              </w:tc>
              <w:tc>
                <w:tcPr>
                  <w:tcW w:w="1217" w:type="pct"/>
                  <w:tcBorders>
                    <w:tl2br w:val="nil"/>
                    <w:tr2bl w:val="nil"/>
                  </w:tcBorders>
                  <w:noWrap w:val="0"/>
                  <w:vAlign w:val="center"/>
                </w:tcPr>
                <w:p w14:paraId="4727DB34">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t>不变</w:t>
                  </w:r>
                </w:p>
              </w:tc>
            </w:tr>
            <w:tr w14:paraId="3D91C48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768" w:hRule="atLeast"/>
                <w:jc w:val="center"/>
              </w:trPr>
              <w:tc>
                <w:tcPr>
                  <w:tcW w:w="329" w:type="pct"/>
                  <w:vMerge w:val="continue"/>
                  <w:tcBorders>
                    <w:tl2br w:val="nil"/>
                    <w:tr2bl w:val="nil"/>
                  </w:tcBorders>
                  <w:noWrap w:val="0"/>
                  <w:vAlign w:val="center"/>
                </w:tcPr>
                <w:p w14:paraId="74157AB5">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965" w:type="pct"/>
                  <w:gridSpan w:val="2"/>
                  <w:tcBorders>
                    <w:tl2br w:val="nil"/>
                    <w:tr2bl w:val="nil"/>
                  </w:tcBorders>
                  <w:noWrap w:val="0"/>
                  <w:vAlign w:val="center"/>
                </w:tcPr>
                <w:p w14:paraId="179FF413">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热力生产（备用）</w:t>
                  </w:r>
                </w:p>
              </w:tc>
              <w:tc>
                <w:tcPr>
                  <w:tcW w:w="866" w:type="pct"/>
                  <w:gridSpan w:val="2"/>
                  <w:tcBorders>
                    <w:tl2br w:val="nil"/>
                    <w:tr2bl w:val="nil"/>
                  </w:tcBorders>
                  <w:noWrap w:val="0"/>
                  <w:vAlign w:val="center"/>
                </w:tcPr>
                <w:p w14:paraId="697A94C2">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50t/h燃气锅炉，1台</w:t>
                  </w:r>
                </w:p>
              </w:tc>
              <w:tc>
                <w:tcPr>
                  <w:tcW w:w="764" w:type="pct"/>
                  <w:tcBorders>
                    <w:tl2br w:val="nil"/>
                    <w:tr2bl w:val="nil"/>
                  </w:tcBorders>
                  <w:noWrap w:val="0"/>
                  <w:vAlign w:val="center"/>
                </w:tcPr>
                <w:p w14:paraId="2B27AA45">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①50t/h燃气锅炉，1台</w:t>
                  </w:r>
                </w:p>
                <w:p w14:paraId="31E2D086">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②100t/h燃气锅炉，1台</w:t>
                  </w:r>
                </w:p>
              </w:tc>
              <w:tc>
                <w:tcPr>
                  <w:tcW w:w="856" w:type="pct"/>
                  <w:gridSpan w:val="2"/>
                  <w:tcBorders>
                    <w:tl2br w:val="nil"/>
                    <w:tr2bl w:val="nil"/>
                  </w:tcBorders>
                  <w:noWrap w:val="0"/>
                  <w:vAlign w:val="center"/>
                </w:tcPr>
                <w:p w14:paraId="16BFCCB3">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+100t/h燃气锅炉，1台</w:t>
                  </w:r>
                </w:p>
              </w:tc>
              <w:tc>
                <w:tcPr>
                  <w:tcW w:w="1217" w:type="pct"/>
                  <w:tcBorders>
                    <w:tl2br w:val="nil"/>
                    <w:tr2bl w:val="nil"/>
                  </w:tcBorders>
                  <w:noWrap w:val="0"/>
                  <w:vAlign w:val="center"/>
                </w:tcPr>
                <w:p w14:paraId="7934F5AE">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本次新增1台100t/h备用燃气锅炉</w:t>
                  </w:r>
                </w:p>
              </w:tc>
            </w:tr>
            <w:tr w14:paraId="6612727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29" w:type="pct"/>
                  <w:vMerge w:val="restart"/>
                  <w:tcBorders>
                    <w:tl2br w:val="nil"/>
                    <w:tr2bl w:val="nil"/>
                  </w:tcBorders>
                  <w:noWrap w:val="0"/>
                  <w:vAlign w:val="center"/>
                </w:tcPr>
                <w:p w14:paraId="0BFD8B86">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储运工程</w:t>
                  </w:r>
                </w:p>
              </w:tc>
              <w:tc>
                <w:tcPr>
                  <w:tcW w:w="965" w:type="pct"/>
                  <w:gridSpan w:val="2"/>
                  <w:tcBorders>
                    <w:tl2br w:val="nil"/>
                    <w:tr2bl w:val="nil"/>
                  </w:tcBorders>
                  <w:noWrap w:val="0"/>
                  <w:vAlign w:val="center"/>
                </w:tcPr>
                <w:p w14:paraId="4E4A5C36">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原料仓库</w:t>
                  </w:r>
                </w:p>
              </w:tc>
              <w:tc>
                <w:tcPr>
                  <w:tcW w:w="3704" w:type="pct"/>
                  <w:gridSpan w:val="6"/>
                  <w:tcBorders>
                    <w:tl2br w:val="nil"/>
                    <w:tr2bl w:val="nil"/>
                  </w:tcBorders>
                  <w:noWrap w:val="0"/>
                  <w:vAlign w:val="center"/>
                </w:tcPr>
                <w:p w14:paraId="695F457B">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项目能耗采用密闭管道运输，无需贮存场所</w:t>
                  </w:r>
                </w:p>
              </w:tc>
            </w:tr>
            <w:tr w14:paraId="2EF0457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continue"/>
                  <w:tcBorders>
                    <w:tl2br w:val="nil"/>
                    <w:tr2bl w:val="nil"/>
                  </w:tcBorders>
                  <w:noWrap w:val="0"/>
                  <w:vAlign w:val="center"/>
                </w:tcPr>
                <w:p w14:paraId="604C973E">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965" w:type="pct"/>
                  <w:gridSpan w:val="2"/>
                  <w:tcBorders>
                    <w:tl2br w:val="nil"/>
                    <w:tr2bl w:val="nil"/>
                  </w:tcBorders>
                  <w:noWrap w:val="0"/>
                  <w:vAlign w:val="center"/>
                </w:tcPr>
                <w:p w14:paraId="5BFF140B">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成品仓库</w:t>
                  </w:r>
                </w:p>
              </w:tc>
              <w:tc>
                <w:tcPr>
                  <w:tcW w:w="3704" w:type="pct"/>
                  <w:gridSpan w:val="6"/>
                  <w:tcBorders>
                    <w:tl2br w:val="nil"/>
                    <w:tr2bl w:val="nil"/>
                  </w:tcBorders>
                  <w:noWrap w:val="0"/>
                  <w:vAlign w:val="center"/>
                </w:tcPr>
                <w:p w14:paraId="7B05E624">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蒸汽通过密闭管道直接供应至用热单位，无需贮存场所</w:t>
                  </w:r>
                </w:p>
              </w:tc>
            </w:tr>
            <w:tr w14:paraId="00D8DFA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329" w:type="pct"/>
                  <w:vMerge w:val="restart"/>
                  <w:tcBorders>
                    <w:tl2br w:val="nil"/>
                    <w:tr2bl w:val="nil"/>
                  </w:tcBorders>
                  <w:noWrap w:val="0"/>
                  <w:vAlign w:val="center"/>
                </w:tcPr>
                <w:p w14:paraId="09FB0F42">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辅助工程</w:t>
                  </w:r>
                </w:p>
              </w:tc>
              <w:tc>
                <w:tcPr>
                  <w:tcW w:w="965" w:type="pct"/>
                  <w:gridSpan w:val="2"/>
                  <w:tcBorders>
                    <w:tl2br w:val="nil"/>
                    <w:tr2bl w:val="nil"/>
                  </w:tcBorders>
                  <w:noWrap w:val="0"/>
                  <w:vAlign w:val="center"/>
                </w:tcPr>
                <w:p w14:paraId="01D47C5F">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供水系统</w:t>
                  </w:r>
                </w:p>
              </w:tc>
              <w:tc>
                <w:tcPr>
                  <w:tcW w:w="3704" w:type="pct"/>
                  <w:gridSpan w:val="6"/>
                  <w:tcBorders>
                    <w:tl2br w:val="nil"/>
                    <w:tr2bl w:val="nil"/>
                  </w:tcBorders>
                  <w:noWrap w:val="0"/>
                  <w:vAlign w:val="center"/>
                </w:tcPr>
                <w:p w14:paraId="0374E804">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依托厂内现有供水系统：</w:t>
                  </w:r>
                  <w:r>
                    <w:rPr>
                      <w:rFonts w:hint="eastAsia" w:cs="Times New Roman"/>
                      <w:b w:val="0"/>
                      <w:bCs w:val="0"/>
                      <w:color w:val="000000" w:themeColor="text1"/>
                      <w:sz w:val="18"/>
                      <w:szCs w:val="18"/>
                      <w:highlight w:val="none"/>
                      <w:lang w:val="en-US" w:eastAsia="zh-CN"/>
                      <w14:textFill>
                        <w14:solidFill>
                          <w14:schemeClr w14:val="tx1"/>
                        </w14:solidFill>
                      </w14:textFill>
                    </w:rPr>
                    <w:t>生活用水来源于自来水管网；生产用水</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水源取自新运河，利用原有取水口。</w:t>
                  </w:r>
                </w:p>
              </w:tc>
            </w:tr>
            <w:tr w14:paraId="3D30FEB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329" w:type="pct"/>
                  <w:vMerge w:val="continue"/>
                  <w:tcBorders>
                    <w:tl2br w:val="nil"/>
                    <w:tr2bl w:val="nil"/>
                  </w:tcBorders>
                  <w:noWrap w:val="0"/>
                  <w:vAlign w:val="center"/>
                </w:tcPr>
                <w:p w14:paraId="54ADB200">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965" w:type="pct"/>
                  <w:gridSpan w:val="2"/>
                  <w:tcBorders>
                    <w:tl2br w:val="nil"/>
                    <w:tr2bl w:val="nil"/>
                  </w:tcBorders>
                  <w:noWrap w:val="0"/>
                  <w:vAlign w:val="center"/>
                </w:tcPr>
                <w:p w14:paraId="5095BDC9">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净水系统</w:t>
                  </w:r>
                </w:p>
              </w:tc>
              <w:tc>
                <w:tcPr>
                  <w:tcW w:w="3704" w:type="pct"/>
                  <w:gridSpan w:val="6"/>
                  <w:tcBorders>
                    <w:tl2br w:val="nil"/>
                    <w:tr2bl w:val="nil"/>
                  </w:tcBorders>
                  <w:noWrap w:val="0"/>
                  <w:vAlign w:val="center"/>
                </w:tcPr>
                <w:p w14:paraId="56898ADC">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依托厂内现有净水系统（反应沉淀池+空气擦洗滤池）</w:t>
                  </w:r>
                </w:p>
              </w:tc>
            </w:tr>
            <w:tr w14:paraId="4939ACF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329" w:type="pct"/>
                  <w:vMerge w:val="continue"/>
                  <w:tcBorders>
                    <w:tl2br w:val="nil"/>
                    <w:tr2bl w:val="nil"/>
                  </w:tcBorders>
                  <w:noWrap w:val="0"/>
                  <w:vAlign w:val="center"/>
                </w:tcPr>
                <w:p w14:paraId="28F0497B">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965" w:type="pct"/>
                  <w:gridSpan w:val="2"/>
                  <w:tcBorders>
                    <w:tl2br w:val="nil"/>
                    <w:tr2bl w:val="nil"/>
                  </w:tcBorders>
                  <w:noWrap w:val="0"/>
                  <w:vAlign w:val="center"/>
                </w:tcPr>
                <w:p w14:paraId="0A508751">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化水系统</w:t>
                  </w:r>
                </w:p>
              </w:tc>
              <w:tc>
                <w:tcPr>
                  <w:tcW w:w="3704" w:type="pct"/>
                  <w:gridSpan w:val="6"/>
                  <w:tcBorders>
                    <w:tl2br w:val="nil"/>
                    <w:tr2bl w:val="nil"/>
                  </w:tcBorders>
                  <w:noWrap w:val="0"/>
                  <w:vAlign w:val="center"/>
                </w:tcPr>
                <w:p w14:paraId="4C257993">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依托厂内现有化水系统（</w:t>
                  </w:r>
                  <w:r>
                    <w:rPr>
                      <w:rFonts w:hint="default" w:cs="Times New Roman"/>
                      <w:b w:val="0"/>
                      <w:bCs w:val="0"/>
                      <w:color w:val="000000" w:themeColor="text1"/>
                      <w:sz w:val="18"/>
                      <w:szCs w:val="18"/>
                      <w:highlight w:val="none"/>
                      <w:lang w:val="en-US" w:eastAsia="zh-CN"/>
                      <w14:textFill>
                        <w14:solidFill>
                          <w14:schemeClr w14:val="tx1"/>
                        </w14:solidFill>
                      </w14:textFill>
                    </w:rPr>
                    <w:t>超滤</w:t>
                  </w:r>
                  <w:r>
                    <w:rPr>
                      <w:rFonts w:hint="eastAsia" w:cs="Times New Roman"/>
                      <w:b w:val="0"/>
                      <w:bCs w:val="0"/>
                      <w:color w:val="000000" w:themeColor="text1"/>
                      <w:sz w:val="18"/>
                      <w:szCs w:val="18"/>
                      <w:highlight w:val="none"/>
                      <w:lang w:val="en-US" w:eastAsia="zh-CN"/>
                      <w14:textFill>
                        <w14:solidFill>
                          <w14:schemeClr w14:val="tx1"/>
                        </w14:solidFill>
                      </w14:textFill>
                    </w:rPr>
                    <w:t>膜</w:t>
                  </w:r>
                  <w:r>
                    <w:rPr>
                      <w:rFonts w:hint="default" w:cs="Times New Roman"/>
                      <w:b w:val="0"/>
                      <w:bCs w:val="0"/>
                      <w:color w:val="000000" w:themeColor="text1"/>
                      <w:sz w:val="18"/>
                      <w:szCs w:val="18"/>
                      <w:highlight w:val="none"/>
                      <w:lang w:val="en-US" w:eastAsia="zh-CN"/>
                      <w14:textFill>
                        <w14:solidFill>
                          <w14:schemeClr w14:val="tx1"/>
                        </w14:solidFill>
                      </w14:textFill>
                    </w:rPr>
                    <w:t>+反渗透膜+离子交换器</w:t>
                  </w:r>
                  <w:r>
                    <w:rPr>
                      <w:rFonts w:hint="eastAsia" w:cs="Times New Roman"/>
                      <w:b w:val="0"/>
                      <w:bCs w:val="0"/>
                      <w:color w:val="000000" w:themeColor="text1"/>
                      <w:sz w:val="18"/>
                      <w:szCs w:val="18"/>
                      <w:highlight w:val="none"/>
                      <w:lang w:val="en-US" w:eastAsia="zh-CN"/>
                      <w14:textFill>
                        <w14:solidFill>
                          <w14:schemeClr w14:val="tx1"/>
                        </w14:solidFill>
                      </w14:textFill>
                    </w:rPr>
                    <w:t>）</w:t>
                  </w:r>
                </w:p>
              </w:tc>
            </w:tr>
            <w:tr w14:paraId="05D84D2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329" w:type="pct"/>
                  <w:vMerge w:val="continue"/>
                  <w:tcBorders>
                    <w:tl2br w:val="nil"/>
                    <w:tr2bl w:val="nil"/>
                  </w:tcBorders>
                  <w:noWrap w:val="0"/>
                  <w:vAlign w:val="center"/>
                </w:tcPr>
                <w:p w14:paraId="2A75B901">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p>
              </w:tc>
              <w:tc>
                <w:tcPr>
                  <w:tcW w:w="965" w:type="pct"/>
                  <w:gridSpan w:val="2"/>
                  <w:tcBorders>
                    <w:tl2br w:val="nil"/>
                    <w:tr2bl w:val="nil"/>
                  </w:tcBorders>
                  <w:noWrap w:val="0"/>
                  <w:vAlign w:val="center"/>
                </w:tcPr>
                <w:p w14:paraId="487DA294">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冷却循环系统</w:t>
                  </w:r>
                </w:p>
              </w:tc>
              <w:tc>
                <w:tcPr>
                  <w:tcW w:w="3704" w:type="pct"/>
                  <w:gridSpan w:val="6"/>
                  <w:tcBorders>
                    <w:tl2br w:val="nil"/>
                    <w:tr2bl w:val="nil"/>
                  </w:tcBorders>
                  <w:noWrap w:val="0"/>
                  <w:vAlign w:val="center"/>
                </w:tcPr>
                <w:p w14:paraId="27DB3FE0">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现</w:t>
                  </w:r>
                  <w:r>
                    <w:rPr>
                      <w:rFonts w:hint="eastAsia" w:cs="Times New Roman"/>
                      <w:b w:val="0"/>
                      <w:bCs w:val="0"/>
                      <w:color w:val="000000" w:themeColor="text1"/>
                      <w:sz w:val="18"/>
                      <w:szCs w:val="18"/>
                      <w:highlight w:val="none"/>
                      <w:lang w:val="en-US" w:eastAsia="zh-CN"/>
                      <w14:textFill>
                        <w14:solidFill>
                          <w14:schemeClr w14:val="tx1"/>
                        </w14:solidFill>
                      </w14:textFill>
                    </w:rPr>
                    <w:t>有项目</w:t>
                  </w: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共有4台冷却循环泵和6座冷却塔，每座循环能力是3500m</w:t>
                  </w:r>
                  <w:r>
                    <w:rPr>
                      <w:rFonts w:hint="eastAsia" w:ascii="Times New Roman" w:hAnsi="Times New Roman" w:eastAsia="宋体" w:cs="Times New Roman"/>
                      <w:b w:val="0"/>
                      <w:bCs w:val="0"/>
                      <w:color w:val="000000" w:themeColor="text1"/>
                      <w:sz w:val="18"/>
                      <w:szCs w:val="18"/>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/h</w:t>
                  </w:r>
                  <w:r>
                    <w:rPr>
                      <w:rFonts w:hint="eastAsia" w:cs="Times New Roman"/>
                      <w:b w:val="0"/>
                      <w:bCs w:val="0"/>
                      <w:color w:val="000000" w:themeColor="text1"/>
                      <w:sz w:val="18"/>
                      <w:szCs w:val="18"/>
                      <w:highlight w:val="none"/>
                      <w:lang w:val="en-US" w:eastAsia="zh-CN"/>
                      <w14:textFill>
                        <w14:solidFill>
                          <w14:schemeClr w14:val="tx1"/>
                        </w14:solidFill>
                      </w14:textFill>
                    </w:rPr>
                    <w:t>，本次项目不涉及冷却循环系统</w:t>
                  </w:r>
                </w:p>
              </w:tc>
            </w:tr>
            <w:tr w14:paraId="49A4344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restart"/>
                  <w:tcBorders>
                    <w:tl2br w:val="nil"/>
                    <w:tr2bl w:val="nil"/>
                  </w:tcBorders>
                  <w:noWrap w:val="0"/>
                  <w:vAlign w:val="center"/>
                </w:tcPr>
                <w:p w14:paraId="6CAE0C3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公用工程</w:t>
                  </w:r>
                </w:p>
              </w:tc>
              <w:tc>
                <w:tcPr>
                  <w:tcW w:w="965" w:type="pct"/>
                  <w:gridSpan w:val="2"/>
                  <w:tcBorders>
                    <w:tl2br w:val="nil"/>
                    <w:tr2bl w:val="nil"/>
                  </w:tcBorders>
                  <w:noWrap w:val="0"/>
                  <w:vAlign w:val="center"/>
                </w:tcPr>
                <w:p w14:paraId="2F93142E">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给水</w:t>
                  </w:r>
                </w:p>
              </w:tc>
              <w:tc>
                <w:tcPr>
                  <w:tcW w:w="3704" w:type="pct"/>
                  <w:gridSpan w:val="6"/>
                  <w:tcBorders>
                    <w:tl2br w:val="nil"/>
                    <w:tr2bl w:val="nil"/>
                  </w:tcBorders>
                  <w:noWrap w:val="0"/>
                  <w:vAlign w:val="center"/>
                </w:tcPr>
                <w:p w14:paraId="5A355E5C">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w:t>
                  </w:r>
                  <w:r>
                    <w:rPr>
                      <w:rFonts w:hint="eastAsia" w:cs="Times New Roman"/>
                      <w:b w:val="0"/>
                      <w:bCs w:val="0"/>
                      <w:color w:val="000000" w:themeColor="text1"/>
                      <w:sz w:val="18"/>
                      <w:szCs w:val="18"/>
                      <w:highlight w:val="none"/>
                      <w:lang w:val="en-US" w:eastAsia="zh-CN"/>
                      <w14:textFill>
                        <w14:solidFill>
                          <w14:schemeClr w14:val="tx1"/>
                        </w14:solidFill>
                      </w14:textFill>
                    </w:rPr>
                    <w:t>现有</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，本项目运行时间短，且作为供热负荷不足时的备用机，</w:t>
                  </w:r>
                  <w:r>
                    <w:rPr>
                      <w:rFonts w:hint="eastAsia" w:cs="Times New Roman"/>
                      <w:b w:val="0"/>
                      <w:bCs w:val="0"/>
                      <w:color w:val="000000" w:themeColor="text1"/>
                      <w:sz w:val="18"/>
                      <w:szCs w:val="18"/>
                      <w:highlight w:val="none"/>
                      <w:lang w:val="en-US" w:eastAsia="zh-CN"/>
                      <w14:textFill>
                        <w14:solidFill>
                          <w14:schemeClr w14:val="tx1"/>
                        </w14:solidFill>
                      </w14:textFill>
                    </w:rPr>
                    <w:t>全厂</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不新增用水量</w:t>
                  </w:r>
                </w:p>
              </w:tc>
            </w:tr>
            <w:tr w14:paraId="13C56F5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continue"/>
                  <w:tcBorders>
                    <w:tl2br w:val="nil"/>
                    <w:tr2bl w:val="nil"/>
                  </w:tcBorders>
                  <w:noWrap w:val="0"/>
                  <w:vAlign w:val="center"/>
                </w:tcPr>
                <w:p w14:paraId="3E1FFBE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965" w:type="pct"/>
                  <w:gridSpan w:val="2"/>
                  <w:tcBorders>
                    <w:tl2br w:val="nil"/>
                    <w:tr2bl w:val="nil"/>
                  </w:tcBorders>
                  <w:noWrap w:val="0"/>
                  <w:vAlign w:val="center"/>
                </w:tcPr>
                <w:p w14:paraId="458041FD">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eastAsia="宋体" w:cs="Times New Roman"/>
                      <w:b w:val="0"/>
                      <w:bCs w:val="0"/>
                      <w:snapToGrid w:val="0"/>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排水</w:t>
                  </w:r>
                </w:p>
              </w:tc>
              <w:tc>
                <w:tcPr>
                  <w:tcW w:w="3704" w:type="pct"/>
                  <w:gridSpan w:val="6"/>
                  <w:tcBorders>
                    <w:tl2br w:val="nil"/>
                    <w:tr2bl w:val="nil"/>
                  </w:tcBorders>
                  <w:noWrap w:val="0"/>
                  <w:vAlign w:val="center"/>
                </w:tcPr>
                <w:p w14:paraId="32D1A08D">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w:t>
                  </w:r>
                  <w:r>
                    <w:rPr>
                      <w:rFonts w:hint="eastAsia" w:cs="Times New Roman"/>
                      <w:b w:val="0"/>
                      <w:bCs w:val="0"/>
                      <w:color w:val="000000" w:themeColor="text1"/>
                      <w:sz w:val="18"/>
                      <w:szCs w:val="18"/>
                      <w:highlight w:val="none"/>
                      <w:lang w:val="en-US" w:eastAsia="zh-CN"/>
                      <w14:textFill>
                        <w14:solidFill>
                          <w14:schemeClr w14:val="tx1"/>
                        </w14:solidFill>
                      </w14:textFill>
                    </w:rPr>
                    <w:t>现有</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，本项目运行时间短，且作为供热负荷不足时的备用机，</w:t>
                  </w:r>
                  <w:r>
                    <w:rPr>
                      <w:rFonts w:hint="eastAsia" w:cs="Times New Roman"/>
                      <w:b w:val="0"/>
                      <w:bCs w:val="0"/>
                      <w:color w:val="000000" w:themeColor="text1"/>
                      <w:sz w:val="18"/>
                      <w:szCs w:val="18"/>
                      <w:highlight w:val="none"/>
                      <w:lang w:val="en-US" w:eastAsia="zh-CN"/>
                      <w14:textFill>
                        <w14:solidFill>
                          <w14:schemeClr w14:val="tx1"/>
                        </w14:solidFill>
                      </w14:textFill>
                    </w:rPr>
                    <w:t>全厂</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不新增排水量</w:t>
                  </w:r>
                </w:p>
              </w:tc>
            </w:tr>
            <w:tr w14:paraId="1FC8797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restart"/>
                  <w:tcBorders>
                    <w:tl2br w:val="nil"/>
                    <w:tr2bl w:val="nil"/>
                  </w:tcBorders>
                  <w:noWrap w:val="0"/>
                  <w:vAlign w:val="center"/>
                </w:tcPr>
                <w:p w14:paraId="5409143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环保工程</w:t>
                  </w:r>
                </w:p>
              </w:tc>
              <w:tc>
                <w:tcPr>
                  <w:tcW w:w="965" w:type="pct"/>
                  <w:gridSpan w:val="2"/>
                  <w:tcBorders>
                    <w:tl2br w:val="nil"/>
                    <w:tr2bl w:val="nil"/>
                  </w:tcBorders>
                  <w:noWrap w:val="0"/>
                  <w:vAlign w:val="center"/>
                </w:tcPr>
                <w:p w14:paraId="0D18ABD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废气治理</w:t>
                  </w:r>
                </w:p>
              </w:tc>
              <w:tc>
                <w:tcPr>
                  <w:tcW w:w="828" w:type="pct"/>
                  <w:tcBorders>
                    <w:tl2br w:val="nil"/>
                    <w:tr2bl w:val="nil"/>
                  </w:tcBorders>
                  <w:noWrap w:val="0"/>
                  <w:vAlign w:val="center"/>
                </w:tcPr>
                <w:p w14:paraId="102082F6">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①热电联产机组：</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w:t>
                  </w:r>
                  <w:r>
                    <w:rPr>
                      <w:rFonts w:hint="eastAsia" w:cs="Times New Roman"/>
                      <w:b w:val="0"/>
                      <w:bCs w:val="0"/>
                      <w:color w:val="000000" w:themeColor="text1"/>
                      <w:sz w:val="18"/>
                      <w:szCs w:val="18"/>
                      <w:highlight w:val="none"/>
                      <w:lang w:val="en-US" w:eastAsia="zh-CN"/>
                      <w14:textFill>
                        <w14:solidFill>
                          <w14:schemeClr w14:val="tx1"/>
                        </w14:solidFill>
                      </w14:textFill>
                    </w:rPr>
                    <w:t>60</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米排气筒（</w:t>
                  </w:r>
                  <w:r>
                    <w:rPr>
                      <w:rFonts w:hint="eastAsia" w:cs="Times New Roman"/>
                      <w:b w:val="0"/>
                      <w:bCs w:val="0"/>
                      <w:color w:val="000000" w:themeColor="text1"/>
                      <w:sz w:val="18"/>
                      <w:szCs w:val="18"/>
                      <w:highlight w:val="none"/>
                      <w:lang w:val="en-US" w:eastAsia="zh-CN"/>
                      <w14:textFill>
                        <w14:solidFill>
                          <w14:schemeClr w14:val="tx1"/>
                        </w14:solidFill>
                      </w14:textFill>
                    </w:rPr>
                    <w:t>DA001</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）排放</w:t>
                  </w:r>
                  <w:r>
                    <w:rPr>
                      <w:rFonts w:hint="eastAsia" w:cs="Times New Roman"/>
                      <w:b w:val="0"/>
                      <w:bCs w:val="0"/>
                      <w:color w:val="000000" w:themeColor="text1"/>
                      <w:sz w:val="18"/>
                      <w:szCs w:val="18"/>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w:t>
                  </w:r>
                  <w:r>
                    <w:rPr>
                      <w:rFonts w:hint="eastAsia" w:cs="Times New Roman"/>
                      <w:b w:val="0"/>
                      <w:bCs w:val="0"/>
                      <w:color w:val="000000" w:themeColor="text1"/>
                      <w:sz w:val="18"/>
                      <w:szCs w:val="18"/>
                      <w:highlight w:val="none"/>
                      <w:lang w:val="en-US" w:eastAsia="zh-CN"/>
                      <w14:textFill>
                        <w14:solidFill>
                          <w14:schemeClr w14:val="tx1"/>
                        </w14:solidFill>
                      </w14:textFill>
                    </w:rPr>
                    <w:t>60</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米排气筒（</w:t>
                  </w:r>
                  <w:r>
                    <w:rPr>
                      <w:rFonts w:hint="eastAsia" w:cs="Times New Roman"/>
                      <w:b w:val="0"/>
                      <w:bCs w:val="0"/>
                      <w:color w:val="000000" w:themeColor="text1"/>
                      <w:sz w:val="18"/>
                      <w:szCs w:val="18"/>
                      <w:highlight w:val="none"/>
                      <w:lang w:val="en-US" w:eastAsia="zh-CN"/>
                      <w14:textFill>
                        <w14:solidFill>
                          <w14:schemeClr w14:val="tx1"/>
                        </w14:solidFill>
                      </w14:textFill>
                    </w:rPr>
                    <w:t>DA002</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）排放</w:t>
                  </w:r>
                </w:p>
                <w:p w14:paraId="5C76808E">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②50t/h燃气锅炉：</w:t>
                  </w:r>
                  <w:r>
                    <w:rPr>
                      <w:rFonts w:hint="default" w:cs="Times New Roman"/>
                      <w:b w:val="0"/>
                      <w:bCs w:val="0"/>
                      <w:color w:val="000000" w:themeColor="text1"/>
                      <w:sz w:val="18"/>
                      <w:szCs w:val="18"/>
                      <w:highlight w:val="none"/>
                      <w:lang w:val="en-US" w:eastAsia="zh-CN"/>
                      <w14:textFill>
                        <w14:solidFill>
                          <w14:schemeClr w14:val="tx1"/>
                        </w14:solidFill>
                      </w14:textFill>
                    </w:rPr>
                    <w:t>低氮燃烧+25米排气筒（</w:t>
                  </w:r>
                  <w:r>
                    <w:rPr>
                      <w:rFonts w:hint="eastAsia" w:cs="Times New Roman"/>
                      <w:b w:val="0"/>
                      <w:bCs w:val="0"/>
                      <w:color w:val="000000" w:themeColor="text1"/>
                      <w:sz w:val="18"/>
                      <w:szCs w:val="18"/>
                      <w:highlight w:val="none"/>
                      <w:lang w:val="en-US" w:eastAsia="zh-CN"/>
                      <w14:textFill>
                        <w14:solidFill>
                          <w14:schemeClr w14:val="tx1"/>
                        </w14:solidFill>
                      </w14:textFill>
                    </w:rPr>
                    <w:t>DA003</w:t>
                  </w:r>
                  <w:r>
                    <w:rPr>
                      <w:rFonts w:hint="default" w:cs="Times New Roman"/>
                      <w:b w:val="0"/>
                      <w:bCs w:val="0"/>
                      <w:color w:val="000000" w:themeColor="text1"/>
                      <w:sz w:val="18"/>
                      <w:szCs w:val="18"/>
                      <w:highlight w:val="none"/>
                      <w:lang w:val="en-US" w:eastAsia="zh-CN"/>
                      <w14:textFill>
                        <w14:solidFill>
                          <w14:schemeClr w14:val="tx1"/>
                        </w14:solidFill>
                      </w14:textFill>
                    </w:rPr>
                    <w:t>）排放</w:t>
                  </w:r>
                </w:p>
                <w:p w14:paraId="107A7FDF">
                  <w:pPr>
                    <w:pStyle w:val="45"/>
                    <w:rPr>
                      <w:rFonts w:hint="default"/>
                      <w:b w:val="0"/>
                      <w:bCs w:val="0"/>
                      <w:color w:val="000000" w:themeColor="text1"/>
                      <w:highlight w:val="none"/>
                      <w:lang w:val="en-US" w:eastAsia="zh-CN"/>
                      <w14:textFill>
                        <w14:solidFill>
                          <w14:schemeClr w14:val="tx1"/>
                        </w14:solidFill>
                      </w14:textFill>
                    </w:rPr>
                  </w:pPr>
                </w:p>
              </w:tc>
              <w:tc>
                <w:tcPr>
                  <w:tcW w:w="828" w:type="pct"/>
                  <w:gridSpan w:val="3"/>
                  <w:tcBorders>
                    <w:tl2br w:val="nil"/>
                    <w:tr2bl w:val="nil"/>
                  </w:tcBorders>
                  <w:noWrap w:val="0"/>
                  <w:vAlign w:val="center"/>
                </w:tcPr>
                <w:p w14:paraId="7F2090A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①热电联产机组：</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w:t>
                  </w:r>
                  <w:r>
                    <w:rPr>
                      <w:rFonts w:hint="eastAsia" w:cs="Times New Roman"/>
                      <w:b w:val="0"/>
                      <w:bCs w:val="0"/>
                      <w:color w:val="000000" w:themeColor="text1"/>
                      <w:sz w:val="18"/>
                      <w:szCs w:val="18"/>
                      <w:highlight w:val="none"/>
                      <w:lang w:val="en-US" w:eastAsia="zh-CN"/>
                      <w14:textFill>
                        <w14:solidFill>
                          <w14:schemeClr w14:val="tx1"/>
                        </w14:solidFill>
                      </w14:textFill>
                    </w:rPr>
                    <w:t>60</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米排气筒（</w:t>
                  </w:r>
                  <w:r>
                    <w:rPr>
                      <w:rFonts w:hint="eastAsia" w:cs="Times New Roman"/>
                      <w:b w:val="0"/>
                      <w:bCs w:val="0"/>
                      <w:color w:val="000000" w:themeColor="text1"/>
                      <w:sz w:val="18"/>
                      <w:szCs w:val="18"/>
                      <w:highlight w:val="none"/>
                      <w:lang w:val="en-US" w:eastAsia="zh-CN"/>
                      <w14:textFill>
                        <w14:solidFill>
                          <w14:schemeClr w14:val="tx1"/>
                        </w14:solidFill>
                      </w14:textFill>
                    </w:rPr>
                    <w:t>DA001</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）排放</w:t>
                  </w:r>
                  <w:r>
                    <w:rPr>
                      <w:rFonts w:hint="eastAsia" w:cs="Times New Roman"/>
                      <w:b w:val="0"/>
                      <w:bCs w:val="0"/>
                      <w:color w:val="000000" w:themeColor="text1"/>
                      <w:sz w:val="18"/>
                      <w:szCs w:val="18"/>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w:t>
                  </w:r>
                  <w:r>
                    <w:rPr>
                      <w:rFonts w:hint="eastAsia" w:cs="Times New Roman"/>
                      <w:b w:val="0"/>
                      <w:bCs w:val="0"/>
                      <w:color w:val="000000" w:themeColor="text1"/>
                      <w:sz w:val="18"/>
                      <w:szCs w:val="18"/>
                      <w:highlight w:val="none"/>
                      <w:lang w:val="en-US" w:eastAsia="zh-CN"/>
                      <w14:textFill>
                        <w14:solidFill>
                          <w14:schemeClr w14:val="tx1"/>
                        </w14:solidFill>
                      </w14:textFill>
                    </w:rPr>
                    <w:t>60</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米排气筒（</w:t>
                  </w:r>
                  <w:r>
                    <w:rPr>
                      <w:rFonts w:hint="eastAsia" w:cs="Times New Roman"/>
                      <w:b w:val="0"/>
                      <w:bCs w:val="0"/>
                      <w:color w:val="000000" w:themeColor="text1"/>
                      <w:sz w:val="18"/>
                      <w:szCs w:val="18"/>
                      <w:highlight w:val="none"/>
                      <w:lang w:val="en-US" w:eastAsia="zh-CN"/>
                      <w14:textFill>
                        <w14:solidFill>
                          <w14:schemeClr w14:val="tx1"/>
                        </w14:solidFill>
                      </w14:textFill>
                    </w:rPr>
                    <w:t>DA002</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）排放</w:t>
                  </w:r>
                </w:p>
                <w:p w14:paraId="70150CB1">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②50t/h燃气锅炉：</w:t>
                  </w:r>
                  <w:r>
                    <w:rPr>
                      <w:rFonts w:hint="default" w:cs="Times New Roman"/>
                      <w:b w:val="0"/>
                      <w:bCs w:val="0"/>
                      <w:color w:val="000000" w:themeColor="text1"/>
                      <w:sz w:val="18"/>
                      <w:szCs w:val="18"/>
                      <w:highlight w:val="none"/>
                      <w:lang w:val="en-US" w:eastAsia="zh-CN"/>
                      <w14:textFill>
                        <w14:solidFill>
                          <w14:schemeClr w14:val="tx1"/>
                        </w14:solidFill>
                      </w14:textFill>
                    </w:rPr>
                    <w:t>低氮燃烧+25米排气筒（</w:t>
                  </w:r>
                  <w:r>
                    <w:rPr>
                      <w:rFonts w:hint="eastAsia" w:cs="Times New Roman"/>
                      <w:b w:val="0"/>
                      <w:bCs w:val="0"/>
                      <w:color w:val="000000" w:themeColor="text1"/>
                      <w:sz w:val="18"/>
                      <w:szCs w:val="18"/>
                      <w:highlight w:val="none"/>
                      <w:lang w:val="en-US" w:eastAsia="zh-CN"/>
                      <w14:textFill>
                        <w14:solidFill>
                          <w14:schemeClr w14:val="tx1"/>
                        </w14:solidFill>
                      </w14:textFill>
                    </w:rPr>
                    <w:t>DA003</w:t>
                  </w:r>
                  <w:r>
                    <w:rPr>
                      <w:rFonts w:hint="default" w:cs="Times New Roman"/>
                      <w:b w:val="0"/>
                      <w:bCs w:val="0"/>
                      <w:color w:val="000000" w:themeColor="text1"/>
                      <w:sz w:val="18"/>
                      <w:szCs w:val="18"/>
                      <w:highlight w:val="none"/>
                      <w:lang w:val="en-US" w:eastAsia="zh-CN"/>
                      <w14:textFill>
                        <w14:solidFill>
                          <w14:schemeClr w14:val="tx1"/>
                        </w14:solidFill>
                      </w14:textFill>
                    </w:rPr>
                    <w:t>）排放</w:t>
                  </w:r>
                </w:p>
                <w:p w14:paraId="5E60A5E6">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③100t/h燃气锅炉：</w:t>
                  </w:r>
                  <w:r>
                    <w:rPr>
                      <w:rFonts w:hint="default" w:cs="Times New Roman"/>
                      <w:b w:val="0"/>
                      <w:bCs w:val="0"/>
                      <w:color w:val="000000" w:themeColor="text1"/>
                      <w:sz w:val="18"/>
                      <w:szCs w:val="18"/>
                      <w:highlight w:val="none"/>
                      <w:lang w:val="en-US" w:eastAsia="zh-CN"/>
                      <w14:textFill>
                        <w14:solidFill>
                          <w14:schemeClr w14:val="tx1"/>
                        </w14:solidFill>
                      </w14:textFill>
                    </w:rPr>
                    <w:t>低氮燃烧+25米排气筒（</w:t>
                  </w:r>
                  <w:r>
                    <w:rPr>
                      <w:rFonts w:hint="eastAsia" w:cs="Times New Roman"/>
                      <w:b w:val="0"/>
                      <w:bCs w:val="0"/>
                      <w:color w:val="000000" w:themeColor="text1"/>
                      <w:sz w:val="18"/>
                      <w:szCs w:val="18"/>
                      <w:highlight w:val="none"/>
                      <w:lang w:val="en-US" w:eastAsia="zh-CN"/>
                      <w14:textFill>
                        <w14:solidFill>
                          <w14:schemeClr w14:val="tx1"/>
                        </w14:solidFill>
                      </w14:textFill>
                    </w:rPr>
                    <w:t>DA004</w:t>
                  </w:r>
                  <w:r>
                    <w:rPr>
                      <w:rFonts w:hint="default" w:cs="Times New Roman"/>
                      <w:b w:val="0"/>
                      <w:bCs w:val="0"/>
                      <w:color w:val="000000" w:themeColor="text1"/>
                      <w:sz w:val="18"/>
                      <w:szCs w:val="18"/>
                      <w:highlight w:val="none"/>
                      <w:lang w:val="en-US" w:eastAsia="zh-CN"/>
                      <w14:textFill>
                        <w14:solidFill>
                          <w14:schemeClr w14:val="tx1"/>
                        </w14:solidFill>
                      </w14:textFill>
                    </w:rPr>
                    <w:t>）排放</w:t>
                  </w:r>
                </w:p>
              </w:tc>
              <w:tc>
                <w:tcPr>
                  <w:tcW w:w="829" w:type="pct"/>
                  <w:tcBorders>
                    <w:tl2br w:val="nil"/>
                    <w:tr2bl w:val="nil"/>
                  </w:tcBorders>
                  <w:noWrap w:val="0"/>
                  <w:vAlign w:val="center"/>
                </w:tcPr>
                <w:p w14:paraId="3FD870EF">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100t/h燃气锅炉：</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低氮燃烧+25米排气筒（</w:t>
                  </w:r>
                  <w:r>
                    <w:rPr>
                      <w:rFonts w:hint="eastAsia" w:cs="Times New Roman"/>
                      <w:b w:val="0"/>
                      <w:bCs w:val="0"/>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）排放</w:t>
                  </w:r>
                </w:p>
              </w:tc>
              <w:tc>
                <w:tcPr>
                  <w:tcW w:w="1217" w:type="pct"/>
                  <w:tcBorders>
                    <w:tl2br w:val="nil"/>
                    <w:tr2bl w:val="nil"/>
                  </w:tcBorders>
                  <w:noWrap w:val="0"/>
                  <w:vAlign w:val="center"/>
                </w:tcPr>
                <w:p w14:paraId="41959C43">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本次为100t/h燃气锅炉新建</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低氮燃烧+25米排气筒（</w:t>
                  </w:r>
                  <w:r>
                    <w:rPr>
                      <w:rFonts w:hint="eastAsia" w:cs="Times New Roman"/>
                      <w:b w:val="0"/>
                      <w:bCs w:val="0"/>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w:t>
                  </w:r>
                </w:p>
              </w:tc>
            </w:tr>
            <w:tr w14:paraId="1F2170D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70" w:hRule="atLeast"/>
                <w:jc w:val="center"/>
              </w:trPr>
              <w:tc>
                <w:tcPr>
                  <w:tcW w:w="329" w:type="pct"/>
                  <w:vMerge w:val="continue"/>
                  <w:tcBorders>
                    <w:tl2br w:val="nil"/>
                    <w:tr2bl w:val="nil"/>
                  </w:tcBorders>
                  <w:noWrap w:val="0"/>
                  <w:vAlign w:val="center"/>
                </w:tcPr>
                <w:p w14:paraId="149C603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965" w:type="pct"/>
                  <w:gridSpan w:val="2"/>
                  <w:tcBorders>
                    <w:tl2br w:val="nil"/>
                    <w:tr2bl w:val="nil"/>
                  </w:tcBorders>
                  <w:noWrap w:val="0"/>
                  <w:vAlign w:val="center"/>
                </w:tcPr>
                <w:p w14:paraId="1B1B10C7">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污水排放</w:t>
                  </w:r>
                </w:p>
              </w:tc>
              <w:tc>
                <w:tcPr>
                  <w:tcW w:w="2487" w:type="pct"/>
                  <w:gridSpan w:val="5"/>
                  <w:tcBorders>
                    <w:tl2br w:val="nil"/>
                    <w:tr2bl w:val="nil"/>
                  </w:tcBorders>
                  <w:noWrap w:val="0"/>
                  <w:vAlign w:val="center"/>
                </w:tcPr>
                <w:p w14:paraId="5A55898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本次涉及的</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生产废水（</w:t>
                  </w:r>
                  <w:r>
                    <w:rPr>
                      <w:rFonts w:hint="eastAsia" w:cs="Times New Roman"/>
                      <w:b w:val="0"/>
                      <w:bCs w:val="0"/>
                      <w:color w:val="000000" w:themeColor="text1"/>
                      <w:sz w:val="18"/>
                      <w:szCs w:val="18"/>
                      <w:highlight w:val="none"/>
                      <w:lang w:val="en-US" w:eastAsia="zh-CN"/>
                      <w14:textFill>
                        <w14:solidFill>
                          <w14:schemeClr w14:val="tx1"/>
                        </w14:solidFill>
                      </w14:textFill>
                    </w:rPr>
                    <w:t>反渗透浓水、</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酸碱废水）依托厂区现有</w:t>
                  </w:r>
                  <w:r>
                    <w:rPr>
                      <w:rFonts w:hint="eastAsia" w:cs="Times New Roman"/>
                      <w:b w:val="0"/>
                      <w:bCs w:val="0"/>
                      <w:color w:val="000000" w:themeColor="text1"/>
                      <w:sz w:val="18"/>
                      <w:szCs w:val="18"/>
                      <w:highlight w:val="none"/>
                      <w:lang w:val="en-US" w:eastAsia="zh-CN"/>
                      <w14:textFill>
                        <w14:solidFill>
                          <w14:schemeClr w14:val="tx1"/>
                        </w14:solidFill>
                      </w14:textFill>
                    </w:rPr>
                    <w:t>污水处理站进行</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中和沉淀</w:t>
                  </w:r>
                  <w:r>
                    <w:rPr>
                      <w:rFonts w:hint="eastAsia" w:cs="Times New Roman"/>
                      <w:b w:val="0"/>
                      <w:bCs w:val="0"/>
                      <w:color w:val="000000" w:themeColor="text1"/>
                      <w:sz w:val="18"/>
                      <w:szCs w:val="18"/>
                      <w:highlight w:val="none"/>
                      <w:lang w:val="en-US" w:eastAsia="zh-CN"/>
                      <w14:textFill>
                        <w14:solidFill>
                          <w14:schemeClr w14:val="tx1"/>
                        </w14:solidFill>
                      </w14:textFill>
                    </w:rPr>
                    <w:t>处理</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达到接管标准后送至平望污水处理厂处理。生活污水排入平望生活污水处理有限公司处理</w:t>
                  </w:r>
                </w:p>
              </w:tc>
              <w:tc>
                <w:tcPr>
                  <w:tcW w:w="1217" w:type="pct"/>
                  <w:tcBorders>
                    <w:tl2br w:val="nil"/>
                    <w:tr2bl w:val="nil"/>
                  </w:tcBorders>
                  <w:noWrap w:val="0"/>
                  <w:vAlign w:val="center"/>
                </w:tcPr>
                <w:p w14:paraId="76E3558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w:t>
                  </w:r>
                  <w:r>
                    <w:rPr>
                      <w:rFonts w:hint="eastAsia" w:cs="Times New Roman"/>
                      <w:b w:val="0"/>
                      <w:bCs w:val="0"/>
                      <w:color w:val="000000" w:themeColor="text1"/>
                      <w:sz w:val="18"/>
                      <w:szCs w:val="18"/>
                      <w:highlight w:val="none"/>
                      <w:lang w:val="en-US" w:eastAsia="zh-CN"/>
                      <w14:textFill>
                        <w14:solidFill>
                          <w14:schemeClr w14:val="tx1"/>
                        </w14:solidFill>
                      </w14:textFill>
                    </w:rPr>
                    <w:t>现有</w:t>
                  </w:r>
                </w:p>
              </w:tc>
            </w:tr>
            <w:tr w14:paraId="67357FC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38" w:hRule="atLeast"/>
                <w:jc w:val="center"/>
              </w:trPr>
              <w:tc>
                <w:tcPr>
                  <w:tcW w:w="329" w:type="pct"/>
                  <w:vMerge w:val="continue"/>
                  <w:tcBorders>
                    <w:tl2br w:val="nil"/>
                    <w:tr2bl w:val="nil"/>
                  </w:tcBorders>
                  <w:noWrap w:val="0"/>
                  <w:vAlign w:val="center"/>
                </w:tcPr>
                <w:p w14:paraId="3A04807D">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965" w:type="pct"/>
                  <w:gridSpan w:val="2"/>
                  <w:tcBorders>
                    <w:tl2br w:val="nil"/>
                    <w:tr2bl w:val="nil"/>
                  </w:tcBorders>
                  <w:noWrap w:val="0"/>
                  <w:vAlign w:val="center"/>
                </w:tcPr>
                <w:p w14:paraId="75C9A517">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噪声治理</w:t>
                  </w:r>
                </w:p>
              </w:tc>
              <w:tc>
                <w:tcPr>
                  <w:tcW w:w="2487" w:type="pct"/>
                  <w:gridSpan w:val="5"/>
                  <w:tcBorders>
                    <w:tl2br w:val="nil"/>
                    <w:tr2bl w:val="nil"/>
                  </w:tcBorders>
                  <w:noWrap w:val="0"/>
                  <w:vAlign w:val="center"/>
                </w:tcPr>
                <w:p w14:paraId="21870EEC">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通过采取减振、隔声等措施后达标排放</w:t>
                  </w:r>
                </w:p>
              </w:tc>
              <w:tc>
                <w:tcPr>
                  <w:tcW w:w="1217" w:type="pct"/>
                  <w:tcBorders>
                    <w:tl2br w:val="nil"/>
                    <w:tr2bl w:val="nil"/>
                  </w:tcBorders>
                  <w:noWrap w:val="0"/>
                  <w:vAlign w:val="center"/>
                </w:tcPr>
                <w:p w14:paraId="31465120">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厂界</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及敏感目标</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达标</w:t>
                  </w:r>
                </w:p>
              </w:tc>
            </w:tr>
            <w:tr w14:paraId="383E818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329" w:type="pct"/>
                  <w:vMerge w:val="continue"/>
                  <w:tcBorders>
                    <w:tl2br w:val="nil"/>
                    <w:tr2bl w:val="nil"/>
                  </w:tcBorders>
                  <w:noWrap w:val="0"/>
                  <w:vAlign w:val="center"/>
                </w:tcPr>
                <w:p w14:paraId="6A05A117">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361" w:type="pct"/>
                  <w:vMerge w:val="restart"/>
                  <w:tcBorders>
                    <w:tl2br w:val="nil"/>
                    <w:tr2bl w:val="nil"/>
                  </w:tcBorders>
                  <w:noWrap w:val="0"/>
                  <w:vAlign w:val="center"/>
                </w:tcPr>
                <w:p w14:paraId="585B316D">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固废</w:t>
                  </w:r>
                </w:p>
              </w:tc>
              <w:tc>
                <w:tcPr>
                  <w:tcW w:w="604" w:type="pct"/>
                  <w:tcBorders>
                    <w:tl2br w:val="nil"/>
                    <w:tr2bl w:val="nil"/>
                  </w:tcBorders>
                  <w:noWrap w:val="0"/>
                  <w:vAlign w:val="center"/>
                </w:tcPr>
                <w:p w14:paraId="4694AF82">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危险废物</w:t>
                  </w: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暂存间</w:t>
                  </w:r>
                </w:p>
              </w:tc>
              <w:tc>
                <w:tcPr>
                  <w:tcW w:w="2487" w:type="pct"/>
                  <w:gridSpan w:val="5"/>
                  <w:tcBorders>
                    <w:tl2br w:val="nil"/>
                    <w:tr2bl w:val="nil"/>
                  </w:tcBorders>
                  <w:noWrap w:val="0"/>
                  <w:vAlign w:val="center"/>
                </w:tcPr>
                <w:p w14:paraId="32AF814D">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40</w:t>
                  </w:r>
                  <w:r>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t>m</w:t>
                  </w:r>
                  <w:r>
                    <w:rPr>
                      <w:rFonts w:hint="default" w:ascii="Times New Roman" w:hAnsi="Times New Roman" w:eastAsia="宋体" w:cs="Times New Roman"/>
                      <w:b w:val="0"/>
                      <w:bCs w:val="0"/>
                      <w:color w:val="000000" w:themeColor="text1"/>
                      <w:sz w:val="18"/>
                      <w:szCs w:val="18"/>
                      <w:highlight w:val="none"/>
                      <w:vertAlign w:val="superscript"/>
                      <w14:textFill>
                        <w14:solidFill>
                          <w14:schemeClr w14:val="tx1"/>
                        </w14:solidFill>
                      </w14:textFill>
                    </w:rPr>
                    <w:t>2</w:t>
                  </w:r>
                </w:p>
              </w:tc>
              <w:tc>
                <w:tcPr>
                  <w:tcW w:w="1217" w:type="pct"/>
                  <w:tcBorders>
                    <w:tl2br w:val="nil"/>
                    <w:tr2bl w:val="nil"/>
                  </w:tcBorders>
                  <w:noWrap w:val="0"/>
                  <w:vAlign w:val="center"/>
                </w:tcPr>
                <w:p w14:paraId="64EAC3FA">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依托原有</w:t>
                  </w:r>
                </w:p>
              </w:tc>
            </w:tr>
            <w:tr w14:paraId="5C917D1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329" w:type="pct"/>
                  <w:vMerge w:val="continue"/>
                  <w:tcBorders>
                    <w:tl2br w:val="nil"/>
                    <w:tr2bl w:val="nil"/>
                  </w:tcBorders>
                  <w:noWrap w:val="0"/>
                  <w:vAlign w:val="center"/>
                </w:tcPr>
                <w:p w14:paraId="18950262">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361" w:type="pct"/>
                  <w:vMerge w:val="continue"/>
                  <w:tcBorders>
                    <w:tl2br w:val="nil"/>
                    <w:tr2bl w:val="nil"/>
                  </w:tcBorders>
                  <w:noWrap w:val="0"/>
                  <w:vAlign w:val="center"/>
                </w:tcPr>
                <w:p w14:paraId="43BD43D3">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604" w:type="pct"/>
                  <w:tcBorders>
                    <w:tl2br w:val="nil"/>
                    <w:tr2bl w:val="nil"/>
                  </w:tcBorders>
                  <w:noWrap w:val="0"/>
                  <w:vAlign w:val="center"/>
                </w:tcPr>
                <w:p w14:paraId="29956322">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一般固废储存间</w:t>
                  </w:r>
                </w:p>
              </w:tc>
              <w:tc>
                <w:tcPr>
                  <w:tcW w:w="2487" w:type="pct"/>
                  <w:gridSpan w:val="5"/>
                  <w:tcBorders>
                    <w:tl2br w:val="nil"/>
                    <w:tr2bl w:val="nil"/>
                  </w:tcBorders>
                  <w:noWrap w:val="0"/>
                  <w:vAlign w:val="center"/>
                </w:tcPr>
                <w:p w14:paraId="7E2CBFCE">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 xml:space="preserve">  </w:t>
                  </w:r>
                  <w:r>
                    <w:rPr>
                      <w:rFonts w:hint="eastAsia"/>
                      <w:b w:val="0"/>
                      <w:bCs w:val="0"/>
                      <w:color w:val="000000" w:themeColor="text1"/>
                      <w:highlight w:val="none"/>
                      <w:lang w:val="en-US" w:eastAsia="zh-CN"/>
                      <w14:textFill>
                        <w14:solidFill>
                          <w14:schemeClr w14:val="tx1"/>
                        </w14:solidFill>
                      </w14:textFill>
                    </w:rPr>
                    <w:t>无</w:t>
                  </w:r>
                </w:p>
              </w:tc>
              <w:tc>
                <w:tcPr>
                  <w:tcW w:w="1217" w:type="pct"/>
                  <w:tcBorders>
                    <w:tl2br w:val="nil"/>
                    <w:tr2bl w:val="nil"/>
                  </w:tcBorders>
                  <w:noWrap w:val="0"/>
                  <w:vAlign w:val="center"/>
                </w:tcPr>
                <w:p w14:paraId="7E547E5F">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产生具有计划性</w:t>
                  </w:r>
                  <w:r>
                    <w:rPr>
                      <w:rFonts w:hint="eastAsia" w:cs="Times New Roman"/>
                      <w:b w:val="0"/>
                      <w:bCs w:val="0"/>
                      <w:color w:val="000000" w:themeColor="text1"/>
                      <w:sz w:val="18"/>
                      <w:szCs w:val="18"/>
                      <w:highlight w:val="none"/>
                      <w:lang w:val="en-US" w:eastAsia="zh-CN"/>
                      <w14:textFill>
                        <w14:solidFill>
                          <w14:schemeClr w14:val="tx1"/>
                        </w14:solidFill>
                      </w14:textFill>
                    </w:rPr>
                    <w:t>，即产即清，无需储存</w:t>
                  </w:r>
                </w:p>
              </w:tc>
            </w:tr>
            <w:tr w14:paraId="3A5657C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329" w:type="pct"/>
                  <w:vMerge w:val="continue"/>
                  <w:tcBorders>
                    <w:tl2br w:val="nil"/>
                    <w:tr2bl w:val="nil"/>
                  </w:tcBorders>
                  <w:noWrap w:val="0"/>
                  <w:vAlign w:val="center"/>
                </w:tcPr>
                <w:p w14:paraId="435278A1">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p>
              </w:tc>
              <w:tc>
                <w:tcPr>
                  <w:tcW w:w="361" w:type="pct"/>
                  <w:tcBorders>
                    <w:tl2br w:val="nil"/>
                    <w:tr2bl w:val="nil"/>
                  </w:tcBorders>
                  <w:noWrap w:val="0"/>
                  <w:vAlign w:val="center"/>
                </w:tcPr>
                <w:p w14:paraId="6E803264">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应急</w:t>
                  </w:r>
                </w:p>
              </w:tc>
              <w:tc>
                <w:tcPr>
                  <w:tcW w:w="604" w:type="pct"/>
                  <w:tcBorders>
                    <w:tl2br w:val="nil"/>
                    <w:tr2bl w:val="nil"/>
                  </w:tcBorders>
                  <w:noWrap w:val="0"/>
                  <w:vAlign w:val="center"/>
                </w:tcPr>
                <w:p w14:paraId="31834CC9">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事故应急池</w:t>
                  </w:r>
                </w:p>
              </w:tc>
              <w:tc>
                <w:tcPr>
                  <w:tcW w:w="2487" w:type="pct"/>
                  <w:gridSpan w:val="5"/>
                  <w:tcBorders>
                    <w:tl2br w:val="nil"/>
                    <w:tr2bl w:val="nil"/>
                  </w:tcBorders>
                  <w:noWrap w:val="0"/>
                  <w:vAlign w:val="center"/>
                </w:tcPr>
                <w:p w14:paraId="02E7417F">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400m</w:t>
                  </w:r>
                  <w:r>
                    <w:rPr>
                      <w:rFonts w:hint="eastAsia" w:ascii="Times New Roman" w:hAnsi="Times New Roman" w:eastAsia="宋体" w:cs="Times New Roman"/>
                      <w:b w:val="0"/>
                      <w:bCs w:val="0"/>
                      <w:color w:val="000000" w:themeColor="text1"/>
                      <w:sz w:val="18"/>
                      <w:szCs w:val="18"/>
                      <w:highlight w:val="none"/>
                      <w:vertAlign w:val="superscript"/>
                      <w:lang w:val="en-US" w:eastAsia="zh-CN"/>
                      <w14:textFill>
                        <w14:solidFill>
                          <w14:schemeClr w14:val="tx1"/>
                        </w14:solidFill>
                      </w14:textFill>
                    </w:rPr>
                    <w:t>3</w:t>
                  </w:r>
                </w:p>
              </w:tc>
              <w:tc>
                <w:tcPr>
                  <w:tcW w:w="1217" w:type="pct"/>
                  <w:tcBorders>
                    <w:tl2br w:val="nil"/>
                    <w:tr2bl w:val="nil"/>
                  </w:tcBorders>
                  <w:noWrap w:val="0"/>
                  <w:vAlign w:val="center"/>
                </w:tcPr>
                <w:p w14:paraId="5A1DB5EF">
                  <w:pPr>
                    <w:keepNext w:val="0"/>
                    <w:keepLines w:val="0"/>
                    <w:pageBreakBefore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t>依托原有</w:t>
                  </w:r>
                </w:p>
              </w:tc>
            </w:tr>
          </w:tbl>
          <w:p w14:paraId="77C1F348">
            <w:pPr>
              <w:adjustRightInd w:val="0"/>
              <w:snapToGrid w:val="0"/>
              <w:spacing w:line="44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7、劳动定员及工作制度</w:t>
            </w:r>
          </w:p>
          <w:p w14:paraId="0331690A">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本期项目总投资</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350</w:t>
            </w:r>
            <w:r>
              <w:rPr>
                <w:rFonts w:hint="default" w:ascii="Times New Roman" w:hAnsi="Times New Roman" w:eastAsia="宋体" w:cs="Times New Roman"/>
                <w:bCs/>
                <w:color w:val="000000" w:themeColor="text1"/>
                <w:szCs w:val="21"/>
                <w:highlight w:val="none"/>
                <w14:textFill>
                  <w14:solidFill>
                    <w14:schemeClr w14:val="tx1"/>
                  </w14:solidFill>
                </w14:textFill>
              </w:rPr>
              <w:t>0万元，</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本项目燃气锅炉仅在现有两套热电联产机组因检修、故障等原因停运时启动，年运行时间3个月（3*30*24=2160</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小时</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2A68D103">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劳动定员</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现有厂区员工1</w:t>
            </w:r>
            <w:r>
              <w:rPr>
                <w:rFonts w:hint="eastAsia" w:cs="Times New Roman"/>
                <w:bCs/>
                <w:color w:val="000000" w:themeColor="text1"/>
                <w:szCs w:val="21"/>
                <w:highlight w:val="none"/>
                <w:lang w:val="en-US" w:eastAsia="zh-CN"/>
                <w14:textFill>
                  <w14:solidFill>
                    <w14:schemeClr w14:val="tx1"/>
                  </w14:solidFill>
                </w14:textFill>
              </w:rPr>
              <w:t>60</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人，本项目不新增员工，在现有员工中调配。</w:t>
            </w:r>
          </w:p>
          <w:p w14:paraId="08E396AE">
            <w:pPr>
              <w:adjustRightInd w:val="0"/>
              <w:snapToGrid w:val="0"/>
              <w:spacing w:line="440" w:lineRule="exact"/>
              <w:ind w:firstLine="422" w:firstLineChars="200"/>
              <w:jc w:val="lef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8、厂区平面布置及项目周边情况</w:t>
            </w:r>
          </w:p>
          <w:p w14:paraId="2DF64F81">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厂区平面布置：</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本</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项目</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位于</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吴江热电现有厂区</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内，在现有</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50t/h燃气锅炉西侧发展用地内</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进行</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bCs/>
                <w:color w:val="000000" w:themeColor="text1"/>
                <w:szCs w:val="21"/>
                <w:highlight w:val="none"/>
                <w14:textFill>
                  <w14:solidFill>
                    <w14:schemeClr w14:val="tx1"/>
                  </w14:solidFill>
                </w14:textFill>
              </w:rPr>
              <w:t>具体见附图</w:t>
            </w:r>
            <w:r>
              <w:rPr>
                <w:rFonts w:hint="eastAsia" w:cs="Times New Roman"/>
                <w:bCs/>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zCs w:val="21"/>
                <w:highlight w:val="none"/>
                <w14:textFill>
                  <w14:solidFill>
                    <w14:schemeClr w14:val="tx1"/>
                  </w14:solidFill>
                </w14:textFill>
              </w:rPr>
              <w:t>。</w:t>
            </w:r>
          </w:p>
          <w:p w14:paraId="67C814E6">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周边概况：厂址西临</w:t>
            </w:r>
            <w:r>
              <w:rPr>
                <w:rFonts w:hint="eastAsia" w:cs="Times New Roman"/>
                <w:bCs/>
                <w:color w:val="000000" w:themeColor="text1"/>
                <w:szCs w:val="21"/>
                <w:highlight w:val="none"/>
                <w:lang w:val="en-US" w:eastAsia="zh-CN"/>
                <w14:textFill>
                  <w14:solidFill>
                    <w14:schemeClr w14:val="tx1"/>
                  </w14:solidFill>
                </w14:textFill>
              </w:rPr>
              <w:t>新运河</w:t>
            </w:r>
            <w:r>
              <w:rPr>
                <w:rFonts w:hint="default" w:ascii="Times New Roman" w:hAnsi="Times New Roman" w:eastAsia="宋体" w:cs="Times New Roman"/>
                <w:bCs/>
                <w:color w:val="000000" w:themeColor="text1"/>
                <w:szCs w:val="21"/>
                <w:highlight w:val="none"/>
                <w14:textFill>
                  <w14:solidFill>
                    <w14:schemeClr w14:val="tx1"/>
                  </w14:solidFill>
                </w14:textFill>
              </w:rPr>
              <w:t>，南连</w:t>
            </w:r>
            <w:r>
              <w:rPr>
                <w:rFonts w:hint="eastAsia" w:cs="Times New Roman"/>
                <w:bCs/>
                <w:color w:val="000000" w:themeColor="text1"/>
                <w:szCs w:val="21"/>
                <w:highlight w:val="none"/>
                <w:lang w:val="en-US" w:eastAsia="zh-CN"/>
                <w14:textFill>
                  <w14:solidFill>
                    <w14:schemeClr w14:val="tx1"/>
                  </w14:solidFill>
                </w14:textFill>
              </w:rPr>
              <w:t>草荡</w:t>
            </w:r>
            <w:r>
              <w:rPr>
                <w:rFonts w:hint="default" w:ascii="Times New Roman" w:hAnsi="Times New Roman" w:eastAsia="宋体" w:cs="Times New Roman"/>
                <w:bCs/>
                <w:color w:val="000000" w:themeColor="text1"/>
                <w:szCs w:val="21"/>
                <w:highlight w:val="none"/>
                <w14:textFill>
                  <w14:solidFill>
                    <w14:schemeClr w14:val="tx1"/>
                  </w14:solidFill>
                </w14:textFill>
              </w:rPr>
              <w:t>，北靠</w:t>
            </w:r>
            <w:r>
              <w:rPr>
                <w:rFonts w:hint="eastAsia" w:cs="Times New Roman"/>
                <w:bCs/>
                <w:color w:val="000000" w:themeColor="text1"/>
                <w:szCs w:val="21"/>
                <w:highlight w:val="none"/>
                <w:lang w:val="en-US" w:eastAsia="zh-CN"/>
                <w14:textFill>
                  <w14:solidFill>
                    <w14:schemeClr w14:val="tx1"/>
                  </w14:solidFill>
                </w14:textFill>
              </w:rPr>
              <w:t>平运路</w:t>
            </w:r>
            <w:r>
              <w:rPr>
                <w:rFonts w:hint="default" w:ascii="Times New Roman" w:hAnsi="Times New Roman" w:eastAsia="宋体" w:cs="Times New Roman"/>
                <w:bCs/>
                <w:color w:val="000000" w:themeColor="text1"/>
                <w:szCs w:val="21"/>
                <w:highlight w:val="none"/>
                <w14:textFill>
                  <w14:solidFill>
                    <w14:schemeClr w14:val="tx1"/>
                  </w14:solidFill>
                </w14:textFill>
              </w:rPr>
              <w:t>，东</w:t>
            </w:r>
            <w:r>
              <w:rPr>
                <w:rFonts w:hint="eastAsia" w:cs="Times New Roman"/>
                <w:bCs/>
                <w:color w:val="000000" w:themeColor="text1"/>
                <w:szCs w:val="21"/>
                <w:highlight w:val="none"/>
                <w:lang w:val="en-US" w:eastAsia="zh-CN"/>
                <w14:textFill>
                  <w14:solidFill>
                    <w14:schemeClr w14:val="tx1"/>
                  </w14:solidFill>
                </w14:textFill>
              </w:rPr>
              <w:t>接优豪纺织公司和蓝望文旅产业园</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厂区周围500m范围内环境空气保护目标见表3-2</w:t>
            </w:r>
            <w:r>
              <w:rPr>
                <w:rFonts w:hint="default" w:ascii="Times New Roman" w:hAnsi="Times New Roman" w:eastAsia="宋体" w:cs="Times New Roman"/>
                <w:bCs/>
                <w:color w:val="000000" w:themeColor="text1"/>
                <w:szCs w:val="21"/>
                <w:highlight w:val="none"/>
                <w14:textFill>
                  <w14:solidFill>
                    <w14:schemeClr w14:val="tx1"/>
                  </w14:solidFill>
                </w14:textFill>
              </w:rPr>
              <w:t>。</w:t>
            </w:r>
          </w:p>
          <w:p w14:paraId="25F440FE">
            <w:pPr>
              <w:numPr>
                <w:ilvl w:val="0"/>
                <w:numId w:val="5"/>
              </w:numPr>
              <w:adjustRightInd w:val="0"/>
              <w:snapToGrid w:val="0"/>
              <w:spacing w:line="480" w:lineRule="exact"/>
              <w:ind w:firstLine="422" w:firstLineChars="200"/>
              <w:jc w:val="left"/>
              <w:rPr>
                <w:rFonts w:hint="eastAsia" w:cs="Times New Roman"/>
                <w:b/>
                <w:bCs w:val="0"/>
                <w:color w:val="000000" w:themeColor="text1"/>
                <w:szCs w:val="21"/>
                <w:highlight w:val="none"/>
                <w:lang w:val="en-US" w:eastAsia="zh-CN"/>
                <w14:textFill>
                  <w14:solidFill>
                    <w14:schemeClr w14:val="tx1"/>
                  </w14:solidFill>
                </w14:textFill>
              </w:rPr>
            </w:pPr>
            <w:r>
              <w:rPr>
                <w:rFonts w:hint="eastAsia" w:cs="Times New Roman"/>
                <w:b/>
                <w:bCs w:val="0"/>
                <w:color w:val="000000" w:themeColor="text1"/>
                <w:szCs w:val="21"/>
                <w:highlight w:val="none"/>
                <w:lang w:val="en-US" w:eastAsia="zh-CN"/>
                <w14:textFill>
                  <w14:solidFill>
                    <w14:schemeClr w14:val="tx1"/>
                  </w14:solidFill>
                </w14:textFill>
              </w:rPr>
              <w:t>水平衡</w:t>
            </w:r>
          </w:p>
          <w:p w14:paraId="79B4E2C5">
            <w:pPr>
              <w:pStyle w:val="2"/>
              <w:ind w:firstLine="420" w:firstLineChars="200"/>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本项目建设后全厂不新增废水排放量，具体详见下图：</w:t>
            </w:r>
          </w:p>
          <w:p w14:paraId="5CE828B8">
            <w:pPr>
              <w:ind w:left="-199" w:leftChars="-95" w:firstLine="0" w:firstLineChars="0"/>
              <w:jc w:val="center"/>
              <w:rPr>
                <w:rFonts w:hint="eastAsia" w:cs="Times New Roman"/>
                <w:bCs/>
                <w:color w:val="000000" w:themeColor="text1"/>
                <w:szCs w:val="21"/>
                <w:highlight w:val="none"/>
                <w:lang w:val="en-US" w:eastAsia="zh-CN"/>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5320030" cy="2289810"/>
                  <wp:effectExtent l="0" t="0" r="0" b="15240"/>
                  <wp:docPr id="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
                          <pic:cNvPicPr>
                            <a:picLocks noChangeAspect="1"/>
                          </pic:cNvPicPr>
                        </pic:nvPicPr>
                        <pic:blipFill>
                          <a:blip r:embed="rId6"/>
                          <a:stretch>
                            <a:fillRect/>
                          </a:stretch>
                        </pic:blipFill>
                        <pic:spPr>
                          <a:xfrm>
                            <a:off x="0" y="0"/>
                            <a:ext cx="5320030" cy="2289810"/>
                          </a:xfrm>
                          <a:prstGeom prst="rect">
                            <a:avLst/>
                          </a:prstGeom>
                          <a:noFill/>
                          <a:ln>
                            <a:noFill/>
                          </a:ln>
                        </pic:spPr>
                      </pic:pic>
                    </a:graphicData>
                  </a:graphic>
                </wp:inline>
              </w:drawing>
            </w:r>
          </w:p>
          <w:p w14:paraId="52ADA2F8">
            <w:pPr>
              <w:jc w:val="center"/>
              <w:rPr>
                <w:rFonts w:hint="eastAsia" w:cs="Times New Roman"/>
                <w:bCs/>
                <w:color w:val="000000" w:themeColor="text1"/>
                <w:szCs w:val="21"/>
                <w:highlight w:val="none"/>
                <w:lang w:val="en-US" w:eastAsia="zh-CN"/>
                <w14:textFill>
                  <w14:solidFill>
                    <w14:schemeClr w14:val="tx1"/>
                  </w14:solidFill>
                </w14:textFill>
              </w:rPr>
            </w:pPr>
          </w:p>
          <w:p w14:paraId="7F8C3785">
            <w:pPr>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图2-1 本项目建成后全厂水平衡图（t/a）</w:t>
            </w:r>
          </w:p>
        </w:tc>
      </w:tr>
      <w:tr w14:paraId="371EDCD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jc w:val="center"/>
        </w:trPr>
        <w:tc>
          <w:tcPr>
            <w:tcW w:w="823" w:type="dxa"/>
            <w:tcBorders>
              <w:tl2br w:val="nil"/>
              <w:tr2bl w:val="nil"/>
            </w:tcBorders>
            <w:vAlign w:val="center"/>
          </w:tcPr>
          <w:p w14:paraId="2465EB68">
            <w:pPr>
              <w:pStyle w:val="33"/>
              <w:adjustRightInd w:val="0"/>
              <w:snapToGrid w:val="0"/>
              <w:spacing w:before="0" w:beforeAutospacing="0" w:after="0" w:afterAutospacing="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工艺流程和产排污环节</w:t>
            </w:r>
          </w:p>
        </w:tc>
        <w:tc>
          <w:tcPr>
            <w:tcW w:w="8322" w:type="dxa"/>
            <w:tcBorders>
              <w:tl2br w:val="nil"/>
              <w:tr2bl w:val="nil"/>
            </w:tcBorders>
          </w:tcPr>
          <w:p w14:paraId="6F42B23F">
            <w:pPr>
              <w:adjustRightInd w:val="0"/>
              <w:snapToGrid w:val="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一、施工期</w:t>
            </w:r>
          </w:p>
          <w:p w14:paraId="5EEFDD57">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本项目燃气锅炉房位于现有厂区内，施工期包括锅炉房土建工程及辅助设施的安装、调试和试运转以及建筑材料运输等。在建设施工期间将不可避免地产生废气噪声、固体废弃物等，对周围环境产生一定影响。施工期的环境影响一般会随着施工工程的结束而消失，建设施工单位应积极采取环境保护措施，使施工期对环境的影响降低到最低限度。</w:t>
            </w:r>
          </w:p>
          <w:p w14:paraId="61A92B20">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1、大气环境影响分析及防治措施</w:t>
            </w:r>
          </w:p>
          <w:p w14:paraId="784258C1">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施工期对环境空气的影响主要是施工扬尘污染及运输车辆尾气污染。施工期扬尘主要来自建筑材料(</w:t>
            </w:r>
            <w:r>
              <w:rPr>
                <w:rFonts w:hint="eastAsia" w:cs="Times New Roman"/>
                <w:bCs/>
                <w:color w:val="000000" w:themeColor="text1"/>
                <w:szCs w:val="21"/>
                <w:highlight w:val="none"/>
                <w:lang w:val="en-US" w:eastAsia="zh-CN"/>
                <w14:textFill>
                  <w14:solidFill>
                    <w14:schemeClr w14:val="tx1"/>
                  </w14:solidFill>
                </w14:textFill>
              </w:rPr>
              <w:t>水泥、</w:t>
            </w:r>
            <w:r>
              <w:rPr>
                <w:rFonts w:hint="default" w:ascii="Times New Roman" w:hAnsi="Times New Roman" w:eastAsia="宋体" w:cs="Times New Roman"/>
                <w:bCs/>
                <w:color w:val="000000" w:themeColor="text1"/>
                <w:szCs w:val="21"/>
                <w:highlight w:val="none"/>
                <w14:textFill>
                  <w14:solidFill>
                    <w14:schemeClr w14:val="tx1"/>
                  </w14:solidFill>
                </w14:textFill>
              </w:rPr>
              <w:t>白灰、沙子、石子、砖等) 的现场搬运及堆放扬尘</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施工垃圾的清理及堆放扬尘</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人来车往造成的现场道路扬尘等。</w:t>
            </w:r>
          </w:p>
          <w:p w14:paraId="72C3B2B1">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项目应采取积极的防尘措施，尽量封闭施工现场，既可有效地防止粉尘及扬尘污染，又可起到隔声作用</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施工用混凝土要采用外购商用混凝土，施工现场不得设置混凝土搅拌站</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施工所用粉状材料，在运输时应对运输车辆加盖蓬布，减速慢行</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施工过程中所用建筑材料，应设置固定堆放场，特别是水泥、白灰等在堆放过程中应尽量用苫布盖好，防止二次扬尘污染，不得随意堆放。施工场地保持一定湿度，定时洒水</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防止粉尘和二次扬尘污染施工场地周围环境空气质量。</w:t>
            </w:r>
          </w:p>
          <w:p w14:paraId="12E944B8">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本项目土建工程量及运输量相对较小，且厂区内通风环境良好，采取以上措施后施工期大气环境影响范围较小。</w:t>
            </w:r>
          </w:p>
          <w:p w14:paraId="2D09B2D5">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2、水环境影响分析及防治措施</w:t>
            </w:r>
          </w:p>
          <w:p w14:paraId="32F3F8A1">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在工程建设中，产生的主要废水为施工废水及施工人员</w:t>
            </w:r>
            <w:r>
              <w:rPr>
                <w:rFonts w:hint="eastAsia" w:cs="Times New Roman"/>
                <w:bCs/>
                <w:color w:val="000000" w:themeColor="text1"/>
                <w:szCs w:val="21"/>
                <w:highlight w:val="none"/>
                <w:lang w:val="en-US" w:eastAsia="zh-CN"/>
                <w14:textFill>
                  <w14:solidFill>
                    <w14:schemeClr w14:val="tx1"/>
                  </w14:solidFill>
                </w14:textFill>
              </w:rPr>
              <w:t>产生</w:t>
            </w:r>
            <w:r>
              <w:rPr>
                <w:rFonts w:hint="default" w:ascii="Times New Roman" w:hAnsi="Times New Roman" w:eastAsia="宋体" w:cs="Times New Roman"/>
                <w:bCs/>
                <w:color w:val="000000" w:themeColor="text1"/>
                <w:szCs w:val="21"/>
                <w:highlight w:val="none"/>
                <w14:textFill>
                  <w14:solidFill>
                    <w14:schemeClr w14:val="tx1"/>
                  </w14:solidFill>
                </w14:textFill>
              </w:rPr>
              <w:t>的生活污水。施工期的废水主要是施工泥浆水、施工机械设备和运输车辆的清洗废水。施工废水收集后经厂内预处理装置处理后平望污水厂处理</w:t>
            </w:r>
            <w:r>
              <w:rPr>
                <w:rFonts w:hint="eastAsia"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生活污水经厂内化粪池处理后接入</w:t>
            </w:r>
            <w:r>
              <w:rPr>
                <w:rFonts w:hint="eastAsia" w:cs="Times New Roman"/>
                <w:bCs/>
                <w:color w:val="000000" w:themeColor="text1"/>
                <w:szCs w:val="21"/>
                <w:highlight w:val="none"/>
                <w:lang w:val="en-US" w:eastAsia="zh-CN"/>
                <w14:textFill>
                  <w14:solidFill>
                    <w14:schemeClr w14:val="tx1"/>
                  </w14:solidFill>
                </w14:textFill>
              </w:rPr>
              <w:t>平望生活污水处理有限公司，</w:t>
            </w:r>
            <w:r>
              <w:rPr>
                <w:rFonts w:hint="default" w:ascii="Times New Roman" w:hAnsi="Times New Roman" w:eastAsia="宋体" w:cs="Times New Roman"/>
                <w:bCs/>
                <w:color w:val="000000" w:themeColor="text1"/>
                <w:szCs w:val="21"/>
                <w:highlight w:val="none"/>
                <w14:textFill>
                  <w14:solidFill>
                    <w14:schemeClr w14:val="tx1"/>
                  </w14:solidFill>
                </w14:textFill>
              </w:rPr>
              <w:t>对周围水环境影响较小。</w:t>
            </w:r>
          </w:p>
          <w:p w14:paraId="14BCF241">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3、声环境的影响分析及防治措施</w:t>
            </w:r>
          </w:p>
          <w:p w14:paraId="546E2D68">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施工过程中材料的运输、基础工程等所用车辆及各种施工机械发出的噪声将对周围的声环境立生影响。为减少工程施工对评价区域声环境的影响，对于施工机械噪声在施工设备选型上，应选用正规厂家、噪声较低的环保型设备，并加强施工现场管理</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保证现场设备安装质量，确保施工设备正常运行。对高噪声的施工设备，必须封闭使用或四周加设隔声屏障，降低其使用时产生的噪声对周围环境的影响。严禁在22:00-6:00时间段内施工。车辆的运行，会引起公路沿线噪声级的增加。因此，应加强对运输车辆的管理，尽量压缩汽车数量和行车密度，控制汽车鸣笛。设备调试及试运转尽量在白天进行。</w:t>
            </w:r>
          </w:p>
          <w:p w14:paraId="3703B9AD">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4、固体废物的管理和利用</w:t>
            </w:r>
          </w:p>
          <w:p w14:paraId="4285C129">
            <w:pPr>
              <w:adjustRightInd w:val="0"/>
              <w:snapToGrid w:val="0"/>
              <w:spacing w:line="480" w:lineRule="exact"/>
              <w:ind w:firstLine="420" w:firstLineChars="200"/>
              <w:jc w:val="left"/>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本项目施工垃圾主要为建筑垃圾、设备的废包装及废零件，如不妥善处理，对环境也会产生一定的影响。应对现场进行及时清理，及时清运垃圾，加以利用，禁止乱堆乱扔，防止产生二次污染。</w:t>
            </w:r>
          </w:p>
          <w:p w14:paraId="017B0EB0">
            <w:pPr>
              <w:numPr>
                <w:ilvl w:val="0"/>
                <w:numId w:val="6"/>
              </w:numPr>
              <w:adjustRightInd w:val="0"/>
              <w:snapToGrid w:val="0"/>
              <w:spacing w:line="440" w:lineRule="exact"/>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运营期</w:t>
            </w:r>
          </w:p>
          <w:p w14:paraId="78BBDEFB">
            <w:pPr>
              <w:keepNext w:val="0"/>
              <w:keepLines w:val="0"/>
              <w:pageBreakBefore w:val="0"/>
              <w:widowControl w:val="0"/>
              <w:kinsoku/>
              <w:wordWrap/>
              <w:overflowPunct/>
              <w:topLinePunct w:val="0"/>
              <w:autoSpaceDE/>
              <w:autoSpaceDN/>
              <w:bidi w:val="0"/>
              <w:spacing w:before="120" w:beforeLines="50" w:line="360" w:lineRule="auto"/>
              <w:jc w:val="both"/>
              <w:textAlignment w:val="auto"/>
              <w:rPr>
                <w:rFonts w:hint="default" w:ascii="Times New Roman" w:hAnsi="Times New Roman" w:eastAsia="宋体" w:cs="Times New Roman"/>
                <w:b/>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mc:AlternateContent>
                <mc:Choice Requires="wpc">
                  <w:drawing>
                    <wp:inline distT="0" distB="0" distL="114300" distR="114300">
                      <wp:extent cx="5514340" cy="2296795"/>
                      <wp:effectExtent l="0" t="0" r="0" b="0"/>
                      <wp:docPr id="36" name="画布 36"/>
                      <wp:cNvGraphicFramePr/>
                      <a:graphic xmlns:a="http://schemas.openxmlformats.org/drawingml/2006/main">
                        <a:graphicData uri="http://schemas.microsoft.com/office/word/2010/wordprocessingCanvas">
                          <wpc:wpc>
                            <wpc:bg>
                              <a:noFill/>
                            </wpc:bg>
                            <wpc:whole>
                              <a:ln>
                                <a:noFill/>
                              </a:ln>
                            </wpc:whole>
                            <wps:wsp>
                              <wps:cNvPr id="2" name="文本框 2"/>
                              <wps:cNvSpPr txBox="1"/>
                              <wps:spPr>
                                <a:xfrm>
                                  <a:off x="1341755" y="243205"/>
                                  <a:ext cx="771525" cy="269875"/>
                                </a:xfrm>
                                <a:prstGeom prst="rect">
                                  <a:avLst/>
                                </a:prstGeom>
                                <a:solidFill>
                                  <a:srgbClr val="FFFFFF"/>
                                </a:solidFill>
                                <a:ln>
                                  <a:noFill/>
                                </a:ln>
                              </wps:spPr>
                              <wps:txbx>
                                <w:txbxContent>
                                  <w:p w14:paraId="7AE86F5E">
                                    <w:pPr>
                                      <w:rPr>
                                        <w:rFonts w:hint="default"/>
                                        <w:lang w:val="en-US" w:eastAsia="zh-CN"/>
                                      </w:rPr>
                                    </w:pPr>
                                    <w:r>
                                      <w:rPr>
                                        <w:rFonts w:hint="default"/>
                                        <w:color w:val="auto"/>
                                        <w:lang w:val="en-US" w:eastAsia="zh-CN"/>
                                      </w:rPr>
                                      <w:t>新运河</w:t>
                                    </w:r>
                                    <w:r>
                                      <w:rPr>
                                        <w:rFonts w:hint="eastAsia"/>
                                        <w:color w:val="auto"/>
                                        <w:lang w:val="en-US" w:eastAsia="zh-CN"/>
                                      </w:rPr>
                                      <w:t>水</w:t>
                                    </w:r>
                                  </w:p>
                                </w:txbxContent>
                              </wps:txbx>
                              <wps:bodyPr upright="1"/>
                            </wps:wsp>
                            <wps:wsp>
                              <wps:cNvPr id="3" name="直接连接符 21"/>
                              <wps:cNvCnPr/>
                              <wps:spPr>
                                <a:xfrm rot="5400000">
                                  <a:off x="2597130" y="630535"/>
                                  <a:ext cx="270510" cy="635"/>
                                </a:xfrm>
                                <a:prstGeom prst="line">
                                  <a:avLst/>
                                </a:prstGeom>
                                <a:ln w="9525" cap="flat" cmpd="sng">
                                  <a:solidFill>
                                    <a:srgbClr val="000000"/>
                                  </a:solidFill>
                                  <a:prstDash val="solid"/>
                                  <a:headEnd type="none" w="med" len="med"/>
                                  <a:tailEnd type="triangle" w="med" len="med"/>
                                </a:ln>
                              </wps:spPr>
                              <wps:bodyPr upright="1"/>
                            </wps:wsp>
                            <wps:wsp>
                              <wps:cNvPr id="4" name="文本框 22"/>
                              <wps:cNvSpPr txBox="1"/>
                              <wps:spPr>
                                <a:xfrm>
                                  <a:off x="2292350" y="221615"/>
                                  <a:ext cx="86995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CF18EB">
                                    <w:pPr>
                                      <w:jc w:val="center"/>
                                      <w:rPr>
                                        <w:rFonts w:hint="default" w:eastAsia="宋体"/>
                                        <w:lang w:val="en-US" w:eastAsia="zh-CN"/>
                                      </w:rPr>
                                    </w:pPr>
                                    <w:r>
                                      <w:rPr>
                                        <w:rFonts w:hint="eastAsia"/>
                                        <w:lang w:val="en-US" w:eastAsia="zh-CN"/>
                                      </w:rPr>
                                      <w:t>净水站</w:t>
                                    </w:r>
                                  </w:p>
                                </w:txbxContent>
                              </wps:txbx>
                              <wps:bodyPr upright="1"/>
                            </wps:wsp>
                            <wps:wsp>
                              <wps:cNvPr id="5" name="文本框 23"/>
                              <wps:cNvSpPr txBox="1"/>
                              <wps:spPr>
                                <a:xfrm>
                                  <a:off x="2223770" y="773430"/>
                                  <a:ext cx="100901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71AAB8">
                                    <w:pPr>
                                      <w:jc w:val="center"/>
                                      <w:rPr>
                                        <w:rFonts w:hint="default" w:eastAsia="宋体"/>
                                        <w:lang w:val="en-US" w:eastAsia="zh-CN"/>
                                      </w:rPr>
                                    </w:pPr>
                                    <w:r>
                                      <w:rPr>
                                        <w:rFonts w:hint="eastAsia"/>
                                        <w:lang w:val="en-US" w:eastAsia="zh-CN"/>
                                      </w:rPr>
                                      <w:t>化水站</w:t>
                                    </w:r>
                                  </w:p>
                                </w:txbxContent>
                              </wps:txbx>
                              <wps:bodyPr upright="1"/>
                            </wps:wsp>
                            <wps:wsp>
                              <wps:cNvPr id="6" name="文本框 24"/>
                              <wps:cNvSpPr txBox="1"/>
                              <wps:spPr>
                                <a:xfrm>
                                  <a:off x="2360295" y="1301750"/>
                                  <a:ext cx="73723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5C8754">
                                    <w:pPr>
                                      <w:jc w:val="center"/>
                                      <w:rPr>
                                        <w:rFonts w:hint="default" w:eastAsia="宋体"/>
                                        <w:lang w:val="en-US" w:eastAsia="zh-CN"/>
                                      </w:rPr>
                                    </w:pPr>
                                    <w:r>
                                      <w:rPr>
                                        <w:rFonts w:hint="eastAsia"/>
                                        <w:lang w:val="en-US" w:eastAsia="zh-CN"/>
                                      </w:rPr>
                                      <w:t>燃气锅炉</w:t>
                                    </w:r>
                                  </w:p>
                                </w:txbxContent>
                              </wps:txbx>
                              <wps:bodyPr upright="1"/>
                            </wps:wsp>
                            <wps:wsp>
                              <wps:cNvPr id="7" name="文本框 25"/>
                              <wps:cNvSpPr txBox="1"/>
                              <wps:spPr>
                                <a:xfrm>
                                  <a:off x="2319020" y="1892935"/>
                                  <a:ext cx="85598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80AE32">
                                    <w:pPr>
                                      <w:jc w:val="center"/>
                                      <w:rPr>
                                        <w:rFonts w:hint="default" w:eastAsia="宋体"/>
                                        <w:lang w:val="en-US" w:eastAsia="zh-CN"/>
                                      </w:rPr>
                                    </w:pPr>
                                    <w:r>
                                      <w:rPr>
                                        <w:rFonts w:hint="eastAsia"/>
                                        <w:lang w:val="en-US" w:eastAsia="zh-CN"/>
                                      </w:rPr>
                                      <w:t>供热</w:t>
                                    </w:r>
                                  </w:p>
                                </w:txbxContent>
                              </wps:txbx>
                              <wps:bodyPr upright="1"/>
                            </wps:wsp>
                            <wps:wsp>
                              <wps:cNvPr id="8" name="文本框 26"/>
                              <wps:cNvSpPr txBox="1"/>
                              <wps:spPr>
                                <a:xfrm>
                                  <a:off x="3564890" y="761365"/>
                                  <a:ext cx="1590675" cy="266700"/>
                                </a:xfrm>
                                <a:prstGeom prst="rect">
                                  <a:avLst/>
                                </a:prstGeom>
                                <a:noFill/>
                                <a:ln>
                                  <a:noFill/>
                                </a:ln>
                              </wps:spPr>
                              <wps:txbx>
                                <w:txbxContent>
                                  <w:p w14:paraId="599ED350">
                                    <w:pPr>
                                      <w:jc w:val="center"/>
                                      <w:rPr>
                                        <w:rFonts w:hint="default" w:eastAsia="宋体"/>
                                        <w:lang w:val="en-US" w:eastAsia="zh-CN"/>
                                      </w:rPr>
                                    </w:pPr>
                                    <w:r>
                                      <w:rPr>
                                        <w:rFonts w:hint="eastAsia" w:eastAsia="宋体"/>
                                        <w:lang w:val="en-US" w:eastAsia="zh-CN"/>
                                      </w:rPr>
                                      <w:t>W2、W3、S2、S3、S4</w:t>
                                    </w:r>
                                  </w:p>
                                </w:txbxContent>
                              </wps:txbx>
                              <wps:bodyPr upright="1"/>
                            </wps:wsp>
                            <wps:wsp>
                              <wps:cNvPr id="9" name="直接连接符 27"/>
                              <wps:cNvCnPr/>
                              <wps:spPr>
                                <a:xfrm rot="5400000" flipV="1">
                                  <a:off x="3267055" y="1301095"/>
                                  <a:ext cx="635" cy="254000"/>
                                </a:xfrm>
                                <a:prstGeom prst="line">
                                  <a:avLst/>
                                </a:prstGeom>
                                <a:ln w="9525" cap="sq" cmpd="sng">
                                  <a:solidFill>
                                    <a:srgbClr val="000000"/>
                                  </a:solidFill>
                                  <a:prstDash val="sysDot"/>
                                  <a:headEnd type="none" w="med" len="med"/>
                                  <a:tailEnd type="triangle" w="med" len="med"/>
                                </a:ln>
                              </wps:spPr>
                              <wps:bodyPr upright="1"/>
                            </wps:wsp>
                            <wps:wsp>
                              <wps:cNvPr id="10" name="文本框 28"/>
                              <wps:cNvSpPr txBox="1"/>
                              <wps:spPr>
                                <a:xfrm>
                                  <a:off x="3493770" y="1323340"/>
                                  <a:ext cx="863600" cy="266700"/>
                                </a:xfrm>
                                <a:prstGeom prst="rect">
                                  <a:avLst/>
                                </a:prstGeom>
                                <a:noFill/>
                                <a:ln>
                                  <a:noFill/>
                                </a:ln>
                              </wps:spPr>
                              <wps:txbx>
                                <w:txbxContent>
                                  <w:p w14:paraId="2E70E839">
                                    <w:pPr>
                                      <w:jc w:val="center"/>
                                      <w:rPr>
                                        <w:rFonts w:hint="default" w:eastAsia="宋体"/>
                                        <w:lang w:val="en-US" w:eastAsia="zh-CN"/>
                                      </w:rPr>
                                    </w:pPr>
                                    <w:r>
                                      <w:rPr>
                                        <w:rFonts w:hint="eastAsia" w:eastAsia="宋体"/>
                                        <w:lang w:val="en-US" w:eastAsia="zh-CN"/>
                                      </w:rPr>
                                      <w:t>G1、W4</w:t>
                                    </w:r>
                                  </w:p>
                                </w:txbxContent>
                              </wps:txbx>
                              <wps:bodyPr upright="1"/>
                            </wps:wsp>
                            <wps:wsp>
                              <wps:cNvPr id="11" name="文本框 29"/>
                              <wps:cNvSpPr txBox="1"/>
                              <wps:spPr>
                                <a:xfrm>
                                  <a:off x="3510915" y="228600"/>
                                  <a:ext cx="692150" cy="266700"/>
                                </a:xfrm>
                                <a:prstGeom prst="rect">
                                  <a:avLst/>
                                </a:prstGeom>
                                <a:noFill/>
                                <a:ln>
                                  <a:noFill/>
                                </a:ln>
                              </wps:spPr>
                              <wps:txbx>
                                <w:txbxContent>
                                  <w:p w14:paraId="5E291DF7">
                                    <w:pPr>
                                      <w:jc w:val="center"/>
                                      <w:rPr>
                                        <w:rFonts w:hint="default" w:eastAsia="宋体"/>
                                        <w:lang w:val="en-US" w:eastAsia="zh-CN"/>
                                      </w:rPr>
                                    </w:pPr>
                                    <w:r>
                                      <w:rPr>
                                        <w:rFonts w:hint="eastAsia" w:eastAsia="宋体"/>
                                        <w:lang w:val="en-US" w:eastAsia="zh-CN"/>
                                      </w:rPr>
                                      <w:t>W1、S1</w:t>
                                    </w:r>
                                  </w:p>
                                </w:txbxContent>
                              </wps:txbx>
                              <wps:bodyPr upright="1"/>
                            </wps:wsp>
                            <wps:wsp>
                              <wps:cNvPr id="12" name="文本框 30"/>
                              <wps:cNvSpPr txBox="1"/>
                              <wps:spPr>
                                <a:xfrm>
                                  <a:off x="107315" y="1383665"/>
                                  <a:ext cx="753110" cy="7658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6FEDB4">
                                    <w:pPr>
                                      <w:jc w:val="left"/>
                                      <w:rPr>
                                        <w:rFonts w:hint="eastAsia" w:eastAsia="宋体"/>
                                        <w:lang w:val="en-US" w:eastAsia="zh-CN"/>
                                      </w:rPr>
                                    </w:pPr>
                                    <w:r>
                                      <w:rPr>
                                        <w:rFonts w:hint="eastAsia" w:eastAsia="宋体"/>
                                        <w:lang w:val="en-US" w:eastAsia="zh-CN"/>
                                      </w:rPr>
                                      <w:t>图例：</w:t>
                                    </w:r>
                                  </w:p>
                                  <w:p w14:paraId="57D3212C">
                                    <w:pPr>
                                      <w:jc w:val="left"/>
                                      <w:rPr>
                                        <w:rFonts w:hint="eastAsia" w:eastAsia="宋体"/>
                                        <w:lang w:val="en-US" w:eastAsia="zh-CN"/>
                                      </w:rPr>
                                    </w:pPr>
                                    <w:r>
                                      <w:rPr>
                                        <w:rFonts w:hint="eastAsia" w:eastAsia="宋体"/>
                                        <w:lang w:val="en-US" w:eastAsia="zh-CN"/>
                                      </w:rPr>
                                      <w:t>G：废气</w:t>
                                    </w:r>
                                  </w:p>
                                  <w:p w14:paraId="5D84408B">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w:t>
                                    </w:r>
                                    <w:r>
                                      <w:rPr>
                                        <w:rFonts w:hint="eastAsia" w:eastAsia="宋体"/>
                                        <w:lang w:val="en-US" w:eastAsia="zh-CN"/>
                                      </w:rPr>
                                      <w:t>：</w:t>
                                    </w:r>
                                    <w:r>
                                      <w:rPr>
                                        <w:rFonts w:hint="eastAsia" w:ascii="Times New Roman" w:hAnsi="Times New Roman" w:eastAsia="宋体" w:cs="Times New Roman"/>
                                        <w:lang w:val="en-US" w:eastAsia="zh-CN"/>
                                      </w:rPr>
                                      <w:t>废水</w:t>
                                    </w:r>
                                  </w:p>
                                  <w:p w14:paraId="71E3F601">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S</w:t>
                                    </w:r>
                                    <w:r>
                                      <w:rPr>
                                        <w:rFonts w:hint="eastAsia" w:eastAsia="宋体"/>
                                        <w:lang w:val="en-US" w:eastAsia="zh-CN"/>
                                      </w:rPr>
                                      <w:t>：</w:t>
                                    </w:r>
                                    <w:r>
                                      <w:rPr>
                                        <w:rFonts w:hint="eastAsia" w:ascii="Times New Roman" w:hAnsi="Times New Roman" w:eastAsia="宋体" w:cs="Times New Roman"/>
                                        <w:lang w:val="en-US" w:eastAsia="zh-CN"/>
                                      </w:rPr>
                                      <w:t>固废</w:t>
                                    </w:r>
                                  </w:p>
                                </w:txbxContent>
                              </wps:txbx>
                              <wps:bodyPr upright="1"/>
                            </wps:wsp>
                            <wps:wsp>
                              <wps:cNvPr id="13" name="直接连接符 31"/>
                              <wps:cNvCnPr/>
                              <wps:spPr>
                                <a:xfrm rot="5400000">
                                  <a:off x="2599035" y="1170920"/>
                                  <a:ext cx="260985" cy="635"/>
                                </a:xfrm>
                                <a:prstGeom prst="line">
                                  <a:avLst/>
                                </a:prstGeom>
                                <a:ln w="9525" cap="flat" cmpd="sng">
                                  <a:solidFill>
                                    <a:srgbClr val="000000"/>
                                  </a:solidFill>
                                  <a:prstDash val="solid"/>
                                  <a:headEnd type="none" w="med" len="med"/>
                                  <a:tailEnd type="triangle" w="med" len="med"/>
                                </a:ln>
                              </wps:spPr>
                              <wps:bodyPr upright="1"/>
                            </wps:wsp>
                            <wps:wsp>
                              <wps:cNvPr id="14" name="直接连接符 32"/>
                              <wps:cNvCnPr/>
                              <wps:spPr>
                                <a:xfrm rot="5400000" flipV="1">
                                  <a:off x="2597130" y="1712575"/>
                                  <a:ext cx="288925" cy="8890"/>
                                </a:xfrm>
                                <a:prstGeom prst="line">
                                  <a:avLst/>
                                </a:prstGeom>
                                <a:ln w="9525" cap="flat" cmpd="sng">
                                  <a:solidFill>
                                    <a:srgbClr val="000000"/>
                                  </a:solidFill>
                                  <a:prstDash val="solid"/>
                                  <a:headEnd type="none" w="med" len="med"/>
                                  <a:tailEnd type="triangle" w="med" len="med"/>
                                </a:ln>
                              </wps:spPr>
                              <wps:bodyPr upright="1"/>
                            </wps:wsp>
                            <wps:wsp>
                              <wps:cNvPr id="15" name="直接连接符 33"/>
                              <wps:cNvCnPr/>
                              <wps:spPr>
                                <a:xfrm>
                                  <a:off x="1969135" y="371475"/>
                                  <a:ext cx="266700" cy="0"/>
                                </a:xfrm>
                                <a:prstGeom prst="line">
                                  <a:avLst/>
                                </a:prstGeom>
                                <a:ln w="9525" cap="flat" cmpd="sng">
                                  <a:solidFill>
                                    <a:srgbClr val="000000"/>
                                  </a:solidFill>
                                  <a:prstDash val="solid"/>
                                  <a:headEnd type="none" w="med" len="med"/>
                                  <a:tailEnd type="triangle" w="med" len="med"/>
                                </a:ln>
                              </wps:spPr>
                              <wps:bodyPr upright="1"/>
                            </wps:wsp>
                            <wps:wsp>
                              <wps:cNvPr id="16" name="直接连接符 34"/>
                              <wps:cNvCnPr/>
                              <wps:spPr>
                                <a:xfrm rot="5400000" flipV="1">
                                  <a:off x="3336925" y="229870"/>
                                  <a:ext cx="0" cy="254000"/>
                                </a:xfrm>
                                <a:prstGeom prst="line">
                                  <a:avLst/>
                                </a:prstGeom>
                                <a:ln w="9525" cap="sq" cmpd="sng">
                                  <a:solidFill>
                                    <a:srgbClr val="000000"/>
                                  </a:solidFill>
                                  <a:prstDash val="sysDot"/>
                                  <a:headEnd type="none" w="med" len="med"/>
                                  <a:tailEnd type="triangle" w="med" len="med"/>
                                </a:ln>
                              </wps:spPr>
                              <wps:bodyPr upright="1"/>
                            </wps:wsp>
                            <wps:wsp>
                              <wps:cNvPr id="17" name="直接连接符 35"/>
                              <wps:cNvCnPr/>
                              <wps:spPr>
                                <a:xfrm rot="5400000" flipV="1">
                                  <a:off x="3394710" y="793750"/>
                                  <a:ext cx="0" cy="254000"/>
                                </a:xfrm>
                                <a:prstGeom prst="line">
                                  <a:avLst/>
                                </a:prstGeom>
                                <a:ln w="9525" cap="sq" cmpd="sng">
                                  <a:solidFill>
                                    <a:srgbClr val="000000"/>
                                  </a:solidFill>
                                  <a:prstDash val="sysDot"/>
                                  <a:headEnd type="none" w="med" len="med"/>
                                  <a:tailEnd type="triangle" w="med" len="med"/>
                                </a:ln>
                              </wps:spPr>
                              <wps:bodyPr upright="1"/>
                            </wps:wsp>
                          </wpc:wpc>
                        </a:graphicData>
                      </a:graphic>
                    </wp:inline>
                  </w:drawing>
                </mc:Choice>
                <mc:Fallback>
                  <w:pict>
                    <v:group id="_x0000_s1026" o:spid="_x0000_s1026" o:spt="203" style="height:180.85pt;width:434.2pt;" coordsize="5514340,2296795" editas="canvas" o:gfxdata="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">
                      <o:lock v:ext="edit" aspectratio="f"/>
                      <v:shape id="_x0000_s1026" o:spid="_x0000_s1026" style="position:absolute;left:0;top:0;height:2296795;width:5514340;" filled="f" stroked="f" coordsize="21600,21600" o:gfxdata="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B4/7mv1wAAAAUBAAAPAAAAAAAAAAEAIAAAACIAAABkcnMvZG93bnJldi54bWxQSwECFAAUAAAA&#10;CACHTuJAyjFuUQ0FAAC0IwAADgAAAAAAAAABACAAAAAmAQAAZHJzL2Uyb0RvYy54bWxQSwUGAAAA&#10;AAYABgBZAQAApQgAAAAA&#10;">
                        <v:fill on="f" focussize="0,0"/>
                        <v:stroke on="f"/>
                        <v:imagedata o:title=""/>
                        <o:lock v:ext="edit" aspectratio="f"/>
                      </v:shape>
                      <v:shape id="_x0000_s1026" o:spid="_x0000_s1026" o:spt="202" type="#_x0000_t202" style="position:absolute;left:1341755;top:243205;height:269875;width:771525;" fillcolor="#FFFFFF" filled="t" stroked="f" coordsize="21600,21600" o:gfxdata="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KVjb59UAAAAFAQAADwAAAAAAAAABACAAAAAiAAAAZHJzL2Rv&#10;d25yZXYueG1sUEsBAhQAFAAAAAgAh07iQFYXl6HLAQAAgQMAAA4AAAAAAAAAAQAgAAAAJAEAAGRy&#10;cy9lMm9Eb2MueG1sUEsFBgAAAAAGAAYAWQEAAGEFAAAAAA==&#10;">
                        <v:fill on="t" focussize="0,0"/>
                        <v:stroke on="f"/>
                        <v:imagedata o:title=""/>
                        <o:lock v:ext="edit" aspectratio="f"/>
                        <v:textbox>
                          <w:txbxContent>
                            <w:p w14:paraId="7AE86F5E">
                              <w:pPr>
                                <w:rPr>
                                  <w:rFonts w:hint="default"/>
                                  <w:lang w:val="en-US" w:eastAsia="zh-CN"/>
                                </w:rPr>
                              </w:pPr>
                              <w:r>
                                <w:rPr>
                                  <w:rFonts w:hint="default"/>
                                  <w:color w:val="auto"/>
                                  <w:lang w:val="en-US" w:eastAsia="zh-CN"/>
                                </w:rPr>
                                <w:t>新运河</w:t>
                              </w:r>
                              <w:r>
                                <w:rPr>
                                  <w:rFonts w:hint="eastAsia"/>
                                  <w:color w:val="auto"/>
                                  <w:lang w:val="en-US" w:eastAsia="zh-CN"/>
                                </w:rPr>
                                <w:t>水</w:t>
                              </w:r>
                            </w:p>
                          </w:txbxContent>
                        </v:textbox>
                      </v:shape>
                      <v:line id="直接连接符 21" o:spid="_x0000_s1026" o:spt="20" style="position:absolute;left:2597130;top:630535;height:635;width:270510;rotation:5898240f;" filled="f" stroked="t" coordsize="21600,21600" o:gfxdata="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u9/qO1gAAAAUBAAAPAAAAAAAAAAEA&#10;IAAAACIAAABkcnMvZG93bnJldi54bWxQSwECFAAUAAAACACHTuJAj/oElRECAAADBAAADgAAAAAA&#10;AAABACAAAAAlAQAAZHJzL2Uyb0RvYy54bWxQSwUGAAAAAAYABgBZAQAAqAUAAAAA&#10;">
                        <v:fill on="f" focussize="0,0"/>
                        <v:stroke color="#000000" joinstyle="round" endarrow="block"/>
                        <v:imagedata o:title=""/>
                        <o:lock v:ext="edit" aspectratio="f"/>
                      </v:line>
                      <v:shape id="文本框 22" o:spid="_x0000_s1026" o:spt="202" type="#_x0000_t202" style="position:absolute;left:2292350;top:221615;height:266700;width:869950;"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cTnNDWAAAABQEAAA8AAAAAAAAA&#10;AQAgAAAAIgAAAGRycy9kb3ducmV2LnhtbFBLAQIUABQAAAAIAIdO4kAQSG9BEwIAAEEEAAAOAAAA&#10;AAAAAAEAIAAAACUBAABkcnMvZTJvRG9jLnhtbFBLBQYAAAAABgAGAFkBAACqBQAAAAA=&#10;">
                        <v:fill on="t" focussize="0,0"/>
                        <v:stroke color="#000000" joinstyle="miter"/>
                        <v:imagedata o:title=""/>
                        <o:lock v:ext="edit" aspectratio="f"/>
                        <v:textbox>
                          <w:txbxContent>
                            <w:p w14:paraId="22CF18EB">
                              <w:pPr>
                                <w:jc w:val="center"/>
                                <w:rPr>
                                  <w:rFonts w:hint="default" w:eastAsia="宋体"/>
                                  <w:lang w:val="en-US" w:eastAsia="zh-CN"/>
                                </w:rPr>
                              </w:pPr>
                              <w:r>
                                <w:rPr>
                                  <w:rFonts w:hint="eastAsia"/>
                                  <w:lang w:val="en-US" w:eastAsia="zh-CN"/>
                                </w:rPr>
                                <w:t>净水站</w:t>
                              </w:r>
                            </w:p>
                          </w:txbxContent>
                        </v:textbox>
                      </v:shape>
                      <v:shape id="文本框 23" o:spid="_x0000_s1026" o:spt="202" type="#_x0000_t202" style="position:absolute;left:2223770;top:773430;height:266700;width:1009015;"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cTnNDWAAAABQEAAA8AAAAA&#10;AAAAAQAgAAAAIgAAAGRycy9kb3ducmV2LnhtbFBLAQIUABQAAAAIAIdO4kCzVlQXFgIAAEIEAAAO&#10;AAAAAAAAAAEAIAAAACUBAABkcnMvZTJvRG9jLnhtbFBLBQYAAAAABgAGAFkBAACtBQAAAAA=&#10;">
                        <v:fill on="t" focussize="0,0"/>
                        <v:stroke color="#000000" joinstyle="miter"/>
                        <v:imagedata o:title=""/>
                        <o:lock v:ext="edit" aspectratio="f"/>
                        <v:textbox>
                          <w:txbxContent>
                            <w:p w14:paraId="6A71AAB8">
                              <w:pPr>
                                <w:jc w:val="center"/>
                                <w:rPr>
                                  <w:rFonts w:hint="default" w:eastAsia="宋体"/>
                                  <w:lang w:val="en-US" w:eastAsia="zh-CN"/>
                                </w:rPr>
                              </w:pPr>
                              <w:r>
                                <w:rPr>
                                  <w:rFonts w:hint="eastAsia"/>
                                  <w:lang w:val="en-US" w:eastAsia="zh-CN"/>
                                </w:rPr>
                                <w:t>化水站</w:t>
                              </w:r>
                            </w:p>
                          </w:txbxContent>
                        </v:textbox>
                      </v:shape>
                      <v:shape id="文本框 24" o:spid="_x0000_s1026" o:spt="202" type="#_x0000_t202" style="position:absolute;left:2360295;top:1301750;height:266700;width:737235;"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cTnNDWAAAABQEAAA8AAAAA&#10;AAAAAQAgAAAAIgAAAGRycy9kb3ducmV2LnhtbFBLAQIUABQAAAAIAIdO4kBRxNprFgIAAEIEAAAO&#10;AAAAAAAAAAEAIAAAACUBAABkcnMvZTJvRG9jLnhtbFBLBQYAAAAABgAGAFkBAACtBQAAAAA=&#10;">
                        <v:fill on="t" focussize="0,0"/>
                        <v:stroke color="#000000" joinstyle="miter"/>
                        <v:imagedata o:title=""/>
                        <o:lock v:ext="edit" aspectratio="f"/>
                        <v:textbox>
                          <w:txbxContent>
                            <w:p w14:paraId="5D5C8754">
                              <w:pPr>
                                <w:jc w:val="center"/>
                                <w:rPr>
                                  <w:rFonts w:hint="default" w:eastAsia="宋体"/>
                                  <w:lang w:val="en-US" w:eastAsia="zh-CN"/>
                                </w:rPr>
                              </w:pPr>
                              <w:r>
                                <w:rPr>
                                  <w:rFonts w:hint="eastAsia"/>
                                  <w:lang w:val="en-US" w:eastAsia="zh-CN"/>
                                </w:rPr>
                                <w:t>燃气锅炉</w:t>
                              </w:r>
                            </w:p>
                          </w:txbxContent>
                        </v:textbox>
                      </v:shape>
                      <v:shape id="文本框 25" o:spid="_x0000_s1026" o:spt="202" type="#_x0000_t202" style="position:absolute;left:2319020;top:1892935;height:266700;width:855980;"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xOc0NYAAAAFAQAADwAA&#10;AAAAAAABACAAAAAiAAAAZHJzL2Rvd25yZXYueG1sUEsBAhQAFAAAAAgAh07iQGf7PBUYAgAAQgQA&#10;AA4AAAAAAAAAAQAgAAAAJQEAAGRycy9lMm9Eb2MueG1sUEsFBgAAAAAGAAYAWQEAAK8FAAAAAA==&#10;">
                        <v:fill on="t" focussize="0,0"/>
                        <v:stroke color="#000000" joinstyle="miter"/>
                        <v:imagedata o:title=""/>
                        <o:lock v:ext="edit" aspectratio="f"/>
                        <v:textbox>
                          <w:txbxContent>
                            <w:p w14:paraId="5A80AE32">
                              <w:pPr>
                                <w:jc w:val="center"/>
                                <w:rPr>
                                  <w:rFonts w:hint="default" w:eastAsia="宋体"/>
                                  <w:lang w:val="en-US" w:eastAsia="zh-CN"/>
                                </w:rPr>
                              </w:pPr>
                              <w:r>
                                <w:rPr>
                                  <w:rFonts w:hint="eastAsia"/>
                                  <w:lang w:val="en-US" w:eastAsia="zh-CN"/>
                                </w:rPr>
                                <w:t>供热</w:t>
                              </w:r>
                            </w:p>
                          </w:txbxContent>
                        </v:textbox>
                      </v:shape>
                      <v:shape id="文本框 26" o:spid="_x0000_s1026" o:spt="202" type="#_x0000_t202" style="position:absolute;left:3564890;top:761365;height:266700;width:1590675;"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QgwG3UAAAABQEAAA8AAAAAAAAAAQAgAAAAIgAAAGRycy9kb3ducmV2LnhtbFBLAQIUABQA&#10;AAAIAIdO4kCtouQduwEAAFoDAAAOAAAAAAAAAAEAIAAAACMBAABkcnMvZTJvRG9jLnhtbFBLBQYA&#10;AAAABgAGAFkBAABQBQAAAAA=&#10;">
                        <v:fill on="f" focussize="0,0"/>
                        <v:stroke on="f"/>
                        <v:imagedata o:title=""/>
                        <o:lock v:ext="edit" aspectratio="f"/>
                        <v:textbox>
                          <w:txbxContent>
                            <w:p w14:paraId="599ED350">
                              <w:pPr>
                                <w:jc w:val="center"/>
                                <w:rPr>
                                  <w:rFonts w:hint="default" w:eastAsia="宋体"/>
                                  <w:lang w:val="en-US" w:eastAsia="zh-CN"/>
                                </w:rPr>
                              </w:pPr>
                              <w:r>
                                <w:rPr>
                                  <w:rFonts w:hint="eastAsia" w:eastAsia="宋体"/>
                                  <w:lang w:val="en-US" w:eastAsia="zh-CN"/>
                                </w:rPr>
                                <w:t>W2、W3、S2、S3、S4</w:t>
                              </w:r>
                            </w:p>
                          </w:txbxContent>
                        </v:textbox>
                      </v:shape>
                      <v:line id="直接连接符 27" o:spid="_x0000_s1026" o:spt="20" style="position:absolute;left:3267055;top:1301095;flip:y;height:254000;width:635;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1NKSr1gAAAAUBAAAPAAAA&#10;AAAAAAEAIAAAACIAAABkcnMvZG93bnJldi54bWxQSwECFAAUAAAACACHTuJAtcMgnBcCAAANBAAA&#10;DgAAAAAAAAABACAAAAAlAQAAZHJzL2Uyb0RvYy54bWxQSwUGAAAAAAYABgBZAQAArgUAAAAA&#10;">
                        <v:fill on="f" focussize="0,0"/>
                        <v:stroke color="#000000" joinstyle="round" dashstyle="1 1" endcap="square" endarrow="block"/>
                        <v:imagedata o:title=""/>
                        <o:lock v:ext="edit" aspectratio="f"/>
                      </v:line>
                      <v:shape id="文本框 28" o:spid="_x0000_s1026" o:spt="202" type="#_x0000_t202" style="position:absolute;left:3493770;top:1323340;height:266700;width:863600;"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U&#10;IMBt1AAAAAUBAAAPAAAAAAAAAAEAIAAAACIAAABkcnMvZG93bnJldi54bWxQSwECFAAUAAAACACH&#10;TuJA+I6ZVbYBAABbAwAADgAAAAAAAAABACAAAAAjAQAAZHJzL2Uyb0RvYy54bWxQSwUGAAAAAAYA&#10;BgBZAQAASwUAAAAA&#10;">
                        <v:fill on="f" focussize="0,0"/>
                        <v:stroke on="f"/>
                        <v:imagedata o:title=""/>
                        <o:lock v:ext="edit" aspectratio="f"/>
                        <v:textbox>
                          <w:txbxContent>
                            <w:p w14:paraId="2E70E839">
                              <w:pPr>
                                <w:jc w:val="center"/>
                                <w:rPr>
                                  <w:rFonts w:hint="default" w:eastAsia="宋体"/>
                                  <w:lang w:val="en-US" w:eastAsia="zh-CN"/>
                                </w:rPr>
                              </w:pPr>
                              <w:r>
                                <w:rPr>
                                  <w:rFonts w:hint="eastAsia" w:eastAsia="宋体"/>
                                  <w:lang w:val="en-US" w:eastAsia="zh-CN"/>
                                </w:rPr>
                                <w:t>G1、W4</w:t>
                              </w:r>
                            </w:p>
                          </w:txbxContent>
                        </v:textbox>
                      </v:shape>
                      <v:shape id="文本框 29" o:spid="_x0000_s1026" o:spt="202" type="#_x0000_t202" style="position:absolute;left:3510915;top:228600;height:266700;width:692150;"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lCDAbdQAAAAFAQAADwAAAAAAAAABACAAAAAiAAAAZHJzL2Rvd25yZXYueG1sUEsBAhQAFAAAAAgA&#10;h07iQKh+itW3AQAAWgMAAA4AAAAAAAAAAQAgAAAAIwEAAGRycy9lMm9Eb2MueG1sUEsFBgAAAAAG&#10;AAYAWQEAAEwFAAAAAA==&#10;">
                        <v:fill on="f" focussize="0,0"/>
                        <v:stroke on="f"/>
                        <v:imagedata o:title=""/>
                        <o:lock v:ext="edit" aspectratio="f"/>
                        <v:textbox>
                          <w:txbxContent>
                            <w:p w14:paraId="5E291DF7">
                              <w:pPr>
                                <w:jc w:val="center"/>
                                <w:rPr>
                                  <w:rFonts w:hint="default" w:eastAsia="宋体"/>
                                  <w:lang w:val="en-US" w:eastAsia="zh-CN"/>
                                </w:rPr>
                              </w:pPr>
                              <w:r>
                                <w:rPr>
                                  <w:rFonts w:hint="eastAsia" w:eastAsia="宋体"/>
                                  <w:lang w:val="en-US" w:eastAsia="zh-CN"/>
                                </w:rPr>
                                <w:t>W1、S1</w:t>
                              </w:r>
                            </w:p>
                          </w:txbxContent>
                        </v:textbox>
                      </v:shape>
                      <v:shape id="文本框 30" o:spid="_x0000_s1026" o:spt="202" type="#_x0000_t202" style="position:absolute;left:107315;top:1383665;height:765810;width:753110;"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cTnNDWAAAABQEAAA8AAAAAAAAA&#10;AQAgAAAAIgAAAGRycy9kb3ducmV2LnhtbFBLAQIUABQAAAAIAIdO4kD7Ug8IEwIAAEIEAAAOAAAA&#10;AAAAAAEAIAAAACUBAABkcnMvZTJvRG9jLnhtbFBLBQYAAAAABgAGAFkBAACqBQAAAAA=&#10;">
                        <v:fill on="t" focussize="0,0"/>
                        <v:stroke color="#000000" joinstyle="miter"/>
                        <v:imagedata o:title=""/>
                        <o:lock v:ext="edit" aspectratio="f"/>
                        <v:textbox>
                          <w:txbxContent>
                            <w:p w14:paraId="5C6FEDB4">
                              <w:pPr>
                                <w:jc w:val="left"/>
                                <w:rPr>
                                  <w:rFonts w:hint="eastAsia" w:eastAsia="宋体"/>
                                  <w:lang w:val="en-US" w:eastAsia="zh-CN"/>
                                </w:rPr>
                              </w:pPr>
                              <w:r>
                                <w:rPr>
                                  <w:rFonts w:hint="eastAsia" w:eastAsia="宋体"/>
                                  <w:lang w:val="en-US" w:eastAsia="zh-CN"/>
                                </w:rPr>
                                <w:t>图例：</w:t>
                              </w:r>
                            </w:p>
                            <w:p w14:paraId="57D3212C">
                              <w:pPr>
                                <w:jc w:val="left"/>
                                <w:rPr>
                                  <w:rFonts w:hint="eastAsia" w:eastAsia="宋体"/>
                                  <w:lang w:val="en-US" w:eastAsia="zh-CN"/>
                                </w:rPr>
                              </w:pPr>
                              <w:r>
                                <w:rPr>
                                  <w:rFonts w:hint="eastAsia" w:eastAsia="宋体"/>
                                  <w:lang w:val="en-US" w:eastAsia="zh-CN"/>
                                </w:rPr>
                                <w:t>G：废气</w:t>
                              </w:r>
                            </w:p>
                            <w:p w14:paraId="5D84408B">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w:t>
                              </w:r>
                              <w:r>
                                <w:rPr>
                                  <w:rFonts w:hint="eastAsia" w:eastAsia="宋体"/>
                                  <w:lang w:val="en-US" w:eastAsia="zh-CN"/>
                                </w:rPr>
                                <w:t>：</w:t>
                              </w:r>
                              <w:r>
                                <w:rPr>
                                  <w:rFonts w:hint="eastAsia" w:ascii="Times New Roman" w:hAnsi="Times New Roman" w:eastAsia="宋体" w:cs="Times New Roman"/>
                                  <w:lang w:val="en-US" w:eastAsia="zh-CN"/>
                                </w:rPr>
                                <w:t>废水</w:t>
                              </w:r>
                            </w:p>
                            <w:p w14:paraId="71E3F601">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S</w:t>
                              </w:r>
                              <w:r>
                                <w:rPr>
                                  <w:rFonts w:hint="eastAsia" w:eastAsia="宋体"/>
                                  <w:lang w:val="en-US" w:eastAsia="zh-CN"/>
                                </w:rPr>
                                <w:t>：</w:t>
                              </w:r>
                              <w:r>
                                <w:rPr>
                                  <w:rFonts w:hint="eastAsia" w:ascii="Times New Roman" w:hAnsi="Times New Roman" w:eastAsia="宋体" w:cs="Times New Roman"/>
                                  <w:lang w:val="en-US" w:eastAsia="zh-CN"/>
                                </w:rPr>
                                <w:t>固废</w:t>
                              </w:r>
                            </w:p>
                          </w:txbxContent>
                        </v:textbox>
                      </v:shape>
                      <v:line id="直接连接符 31" o:spid="_x0000_s1026" o:spt="20" style="position:absolute;left:2599035;top:1170920;height:635;width:260985;rotation:5898240f;" filled="f" stroked="t" coordsize="21600,21600" o:gfxdata="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vf6jtYAAAAFAQAADwAAAAAAAAAB&#10;ACAAAAAiAAAAZHJzL2Rvd25yZXYueG1sUEsBAhQAFAAAAAgAh07iQPY8bCESAgAABQQAAA4AAAAA&#10;AAAAAQAgAAAAJQEAAGRycy9lMm9Eb2MueG1sUEsFBgAAAAAGAAYAWQEAAKkFAAAAAA==&#10;">
                        <v:fill on="f" focussize="0,0"/>
                        <v:stroke color="#000000" joinstyle="round" endarrow="block"/>
                        <v:imagedata o:title=""/>
                        <o:lock v:ext="edit" aspectratio="f"/>
                      </v:line>
                      <v:line id="直接连接符 32" o:spid="_x0000_s1026" o:spt="20" style="position:absolute;left:2597130;top:1712575;flip:y;height:8890;width:288925;rotation:-5898240f;" filled="f" stroked="t" coordsize="21600,21600" o:gfxdata="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pLOjVAAAABQEAAA8A&#10;AAAAAAAAAQAgAAAAIgAAAGRycy9kb3ducmV2LnhtbFBLAQIUABQAAAAIAIdO4kA3IbM4GgIAABAE&#10;AAAOAAAAAAAAAAEAIAAAACQBAABkcnMvZTJvRG9jLnhtbFBLBQYAAAAABgAGAFkBAACwBQAAAAA=&#10;">
                        <v:fill on="f" focussize="0,0"/>
                        <v:stroke color="#000000" joinstyle="round" endarrow="block"/>
                        <v:imagedata o:title=""/>
                        <o:lock v:ext="edit" aspectratio="f"/>
                      </v:line>
                      <v:line id="直接连接符 33" o:spid="_x0000_s1026" o:spt="20" style="position:absolute;left:1969135;top:371475;height:0;width:266700;" filled="f" stroked="t" coordsize="21600,21600" o:gfxdata="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WPJLDYAAAABQEAAA8AAAAAAAAAAQAgAAAA&#10;IgAAAGRycy9kb3ducmV2LnhtbFBLAQIUABQAAAAIAIdO4kAGDQsFCwIAAPQDAAAOAAAAAAAAAAEA&#10;IAAAACcBAABkcnMvZTJvRG9jLnhtbFBLBQYAAAAABgAGAFkBAACkBQAAAAA=&#10;">
                        <v:fill on="f" focussize="0,0"/>
                        <v:stroke color="#000000" joinstyle="round" endarrow="block"/>
                        <v:imagedata o:title=""/>
                        <o:lock v:ext="edit" aspectratio="f"/>
                      </v:line>
                      <v:line id="直接连接符 34" o:spid="_x0000_s1026" o:spt="20" style="position:absolute;left:3336925;top:229870;flip:y;height:254000;width:0;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Skq9YAAAAFAQAADwAA&#10;AAAAAAABACAAAAAiAAAAZHJzL2Rvd25yZXYueG1sUEsBAhQAFAAAAAgAh07iQBCmKesYAgAACwQA&#10;AA4AAAAAAAAAAQAgAAAAJQEAAGRycy9lMm9Eb2MueG1sUEsFBgAAAAAGAAYAWQEAAK8FAAAAAA==&#10;">
                        <v:fill on="f" focussize="0,0"/>
                        <v:stroke color="#000000" joinstyle="round" dashstyle="1 1" endcap="square" endarrow="block"/>
                        <v:imagedata o:title=""/>
                        <o:lock v:ext="edit" aspectratio="f"/>
                      </v:line>
                      <v:line id="直接连接符 35" o:spid="_x0000_s1026" o:spt="20" style="position:absolute;left:3394710;top:793750;flip:y;height:254000;width:0;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Skq9YAAAAFAQAADwAA&#10;AAAAAAABACAAAAAiAAAAZHJzL2Rvd25yZXYueG1sUEsBAhQAFAAAAAgAh07iQO+5JngYAgAACwQA&#10;AA4AAAAAAAAAAQAgAAAAJQEAAGRycy9lMm9Eb2MueG1sUEsFBgAAAAAGAAYAWQEAAK8FAAAAAA==&#10;">
                        <v:fill on="f" focussize="0,0"/>
                        <v:stroke color="#000000" joinstyle="round" dashstyle="1 1" endcap="square" endarrow="block"/>
                        <v:imagedata o:title=""/>
                        <o:lock v:ext="edit" aspectratio="f"/>
                      </v:line>
                      <w10:wrap type="none"/>
                      <w10:anchorlock/>
                    </v:group>
                  </w:pict>
                </mc:Fallback>
              </mc:AlternateContent>
            </w:r>
          </w:p>
          <w:p w14:paraId="5D195CB0">
            <w:pPr>
              <w:keepNext w:val="0"/>
              <w:keepLines w:val="0"/>
              <w:pageBreakBefore w:val="0"/>
              <w:widowControl w:val="0"/>
              <w:kinsoku/>
              <w:wordWrap/>
              <w:overflowPunct/>
              <w:topLinePunct w:val="0"/>
              <w:autoSpaceDE/>
              <w:autoSpaceDN/>
              <w:bidi w:val="0"/>
              <w:spacing w:before="120" w:beforeLines="50" w:line="360" w:lineRule="auto"/>
              <w:jc w:val="center"/>
              <w:textAlignment w:val="auto"/>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图2-2  本次100t/h燃气锅炉运行工艺流程及产污环节图</w:t>
            </w:r>
          </w:p>
          <w:p w14:paraId="07FD2257">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b/>
                <w:color w:val="000000" w:themeColor="text1"/>
                <w:sz w:val="21"/>
                <w:szCs w:val="21"/>
                <w:highlight w:val="none"/>
                <w14:textFill>
                  <w14:solidFill>
                    <w14:schemeClr w14:val="tx1"/>
                  </w14:solidFill>
                </w14:textFill>
              </w:rPr>
              <w:t>工艺流程简介</w:t>
            </w:r>
            <w:r>
              <w:rPr>
                <w:rFonts w:hint="default" w:ascii="Times New Roman" w:hAnsi="Times New Roman" w:eastAsia="宋体" w:cs="Times New Roman"/>
                <w:b/>
                <w:color w:val="000000" w:themeColor="text1"/>
                <w:sz w:val="21"/>
                <w:szCs w:val="21"/>
                <w:highlight w:val="none"/>
                <w:lang w:eastAsia="zh-CN"/>
                <w14:textFill>
                  <w14:solidFill>
                    <w14:schemeClr w14:val="tx1"/>
                  </w14:solidFill>
                </w14:textFill>
              </w:rPr>
              <w:t>：</w:t>
            </w:r>
          </w:p>
          <w:p w14:paraId="39558AEA">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①</w:t>
            </w:r>
            <w:r>
              <w:rPr>
                <w:rFonts w:hint="default" w:ascii="Times New Roman" w:hAnsi="Times New Roman" w:eastAsia="宋体" w:cs="Times New Roman"/>
                <w:bCs/>
                <w:color w:val="000000" w:themeColor="text1"/>
                <w:szCs w:val="21"/>
                <w:highlight w:val="none"/>
                <w14:textFill>
                  <w14:solidFill>
                    <w14:schemeClr w14:val="tx1"/>
                  </w14:solidFill>
                </w14:textFill>
              </w:rPr>
              <w:t>净水站净水：从新运河抽取的</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河</w:t>
            </w:r>
            <w:r>
              <w:rPr>
                <w:rFonts w:hint="default" w:ascii="Times New Roman" w:hAnsi="Times New Roman" w:eastAsia="宋体" w:cs="Times New Roman"/>
                <w:bCs/>
                <w:color w:val="000000" w:themeColor="text1"/>
                <w:szCs w:val="21"/>
                <w:highlight w:val="none"/>
                <w14:textFill>
                  <w14:solidFill>
                    <w14:schemeClr w14:val="tx1"/>
                  </w14:solidFill>
                </w14:textFill>
              </w:rPr>
              <w:t>水，</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进入厂区现有净水站处理系统（反应沉淀+空气擦洗滤池）进行处理</w:t>
            </w:r>
            <w:r>
              <w:rPr>
                <w:rFonts w:hint="default" w:ascii="Times New Roman" w:hAnsi="Times New Roman" w:eastAsia="宋体" w:cs="Times New Roman"/>
                <w:bCs/>
                <w:color w:val="000000" w:themeColor="text1"/>
                <w:szCs w:val="21"/>
                <w:highlight w:val="none"/>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使其</w:t>
            </w:r>
            <w:r>
              <w:rPr>
                <w:rFonts w:hint="default" w:ascii="Times New Roman" w:hAnsi="Times New Roman" w:eastAsia="宋体" w:cs="Times New Roman"/>
                <w:bCs/>
                <w:color w:val="000000" w:themeColor="text1"/>
                <w:szCs w:val="21"/>
                <w:highlight w:val="none"/>
                <w14:textFill>
                  <w14:solidFill>
                    <w14:schemeClr w14:val="tx1"/>
                  </w14:solidFill>
                </w14:textFill>
              </w:rPr>
              <w:t>出水水质浊度小于3mg/l</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后进入化水站进行进一步处理。</w:t>
            </w:r>
          </w:p>
          <w:p w14:paraId="0D767DCE">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此过程产生净水站强排水W1</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净水站沉淀泥沙S1。</w:t>
            </w:r>
          </w:p>
          <w:p w14:paraId="0AD4130C">
            <w:pPr>
              <w:numPr>
                <w:ilvl w:val="0"/>
                <w:numId w:val="0"/>
              </w:numPr>
              <w:adjustRightInd w:val="0"/>
              <w:snapToGrid w:val="0"/>
              <w:spacing w:line="440" w:lineRule="exact"/>
              <w:ind w:left="0" w:leftChars="0" w:firstLine="420" w:firstLineChars="200"/>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②</w:t>
            </w:r>
            <w:r>
              <w:rPr>
                <w:rFonts w:hint="default" w:ascii="Times New Roman" w:hAnsi="Times New Roman" w:eastAsia="宋体" w:cs="Times New Roman"/>
                <w:bCs/>
                <w:color w:val="000000" w:themeColor="text1"/>
                <w:szCs w:val="21"/>
                <w:highlight w:val="none"/>
                <w14:textFill>
                  <w14:solidFill>
                    <w14:schemeClr w14:val="tx1"/>
                  </w14:solidFill>
                </w14:textFill>
              </w:rPr>
              <w:t>化水装置净水：净水站</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出水进入厂区现有化水站处理系统（</w:t>
            </w:r>
            <w:r>
              <w:rPr>
                <w:rFonts w:hint="default" w:ascii="Times New Roman" w:hAnsi="Times New Roman" w:eastAsia="宋体" w:cs="Times New Roman"/>
                <w:bCs/>
                <w:color w:val="000000" w:themeColor="text1"/>
                <w:szCs w:val="21"/>
                <w:highlight w:val="none"/>
                <w14:textFill>
                  <w14:solidFill>
                    <w14:schemeClr w14:val="tx1"/>
                  </w14:solidFill>
                </w14:textFill>
              </w:rPr>
              <w:t>超滤</w:t>
            </w:r>
            <w:r>
              <w:rPr>
                <w:rFonts w:hint="eastAsia" w:cs="Times New Roman"/>
                <w:bCs/>
                <w:color w:val="000000" w:themeColor="text1"/>
                <w:szCs w:val="21"/>
                <w:highlight w:val="none"/>
                <w:lang w:val="en-US" w:eastAsia="zh-CN"/>
                <w14:textFill>
                  <w14:solidFill>
                    <w14:schemeClr w14:val="tx1"/>
                  </w14:solidFill>
                </w14:textFill>
              </w:rPr>
              <w:t>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反渗透膜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离子交换器</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进行</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进一步处理</w:t>
            </w:r>
            <w:r>
              <w:rPr>
                <w:rFonts w:hint="default" w:ascii="Times New Roman" w:hAnsi="Times New Roman" w:eastAsia="宋体" w:cs="Times New Roman"/>
                <w:bCs/>
                <w:color w:val="000000" w:themeColor="text1"/>
                <w:szCs w:val="21"/>
                <w:highlight w:val="none"/>
                <w14:textFill>
                  <w14:solidFill>
                    <w14:schemeClr w14:val="tx1"/>
                  </w14:solidFill>
                </w14:textFill>
              </w:rPr>
              <w:t>，使之达到锅炉用水标准</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p>
          <w:p w14:paraId="1D7352B5">
            <w:pPr>
              <w:numPr>
                <w:ilvl w:val="0"/>
                <w:numId w:val="0"/>
              </w:numPr>
              <w:adjustRightInd w:val="0"/>
              <w:snapToGrid w:val="0"/>
              <w:spacing w:line="440" w:lineRule="exact"/>
              <w:ind w:left="0" w:leftChars="0"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此过程产生反渗透浓水W2、</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酸碱废水</w:t>
            </w:r>
            <w:r>
              <w:rPr>
                <w:rFonts w:hint="default" w:ascii="Times New Roman" w:hAnsi="Times New Roman" w:eastAsia="宋体" w:cs="Times New Roman"/>
                <w:bCs/>
                <w:color w:val="000000" w:themeColor="text1"/>
                <w:szCs w:val="21"/>
                <w:highlight w:val="none"/>
                <w14:textFill>
                  <w14:solidFill>
                    <w14:schemeClr w14:val="tx1"/>
                  </w14:solidFill>
                </w14:textFill>
              </w:rPr>
              <w:t>W3</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以及一般固废废</w:t>
            </w:r>
            <w:r>
              <w:rPr>
                <w:rFonts w:hint="eastAsia" w:cs="Times New Roman"/>
                <w:bCs/>
                <w:color w:val="000000" w:themeColor="text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bCs/>
                <w:color w:val="000000" w:themeColor="text1"/>
                <w:szCs w:val="21"/>
                <w:highlight w:val="none"/>
                <w14:textFill>
                  <w14:solidFill>
                    <w14:schemeClr w14:val="tx1"/>
                  </w14:solidFill>
                </w14:textFill>
              </w:rPr>
              <w:t>S2、废滤芯S3、废离子交换树脂S4。</w:t>
            </w:r>
          </w:p>
          <w:p w14:paraId="5CBF27AA">
            <w:pPr>
              <w:numPr>
                <w:ilvl w:val="0"/>
                <w:numId w:val="0"/>
              </w:numPr>
              <w:adjustRightInd w:val="0"/>
              <w:snapToGrid w:val="0"/>
              <w:spacing w:line="440" w:lineRule="exact"/>
              <w:ind w:leftChars="200"/>
              <w:rPr>
                <w:rFonts w:hint="eastAsia"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③</w:t>
            </w:r>
            <w:r>
              <w:rPr>
                <w:rFonts w:hint="default" w:ascii="Times New Roman" w:hAnsi="Times New Roman" w:eastAsia="宋体" w:cs="Times New Roman"/>
                <w:bCs/>
                <w:color w:val="000000" w:themeColor="text1"/>
                <w:szCs w:val="21"/>
                <w:highlight w:val="none"/>
                <w14:textFill>
                  <w14:solidFill>
                    <w14:schemeClr w14:val="tx1"/>
                  </w14:solidFill>
                </w14:textFill>
              </w:rPr>
              <w:t>燃气锅炉燃烧：</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化水站的出水</w:t>
            </w:r>
            <w:r>
              <w:rPr>
                <w:rFonts w:hint="default" w:ascii="Times New Roman" w:hAnsi="Times New Roman" w:eastAsia="宋体" w:cs="Times New Roman"/>
                <w:bCs/>
                <w:color w:val="000000" w:themeColor="text1"/>
                <w:szCs w:val="21"/>
                <w:highlight w:val="none"/>
                <w14:textFill>
                  <w14:solidFill>
                    <w14:schemeClr w14:val="tx1"/>
                  </w14:solidFill>
                </w14:textFill>
              </w:rPr>
              <w:t>进入锅炉，通过天然气低氮燃烧得到蒸汽 (1.0MPa，320°C)</w:t>
            </w:r>
            <w:r>
              <w:rPr>
                <w:rFonts w:hint="eastAsia" w:cs="Times New Roman"/>
                <w:bCs/>
                <w:color w:val="000000" w:themeColor="text1"/>
                <w:szCs w:val="21"/>
                <w:highlight w:val="none"/>
                <w:lang w:eastAsia="zh-CN"/>
                <w14:textFill>
                  <w14:solidFill>
                    <w14:schemeClr w14:val="tx1"/>
                  </w14:solidFill>
                </w14:textFill>
              </w:rPr>
              <w:t>。</w:t>
            </w:r>
          </w:p>
          <w:p w14:paraId="00A38B16">
            <w:pPr>
              <w:numPr>
                <w:ilvl w:val="0"/>
                <w:numId w:val="0"/>
              </w:numPr>
              <w:adjustRightInd w:val="0"/>
              <w:snapToGrid w:val="0"/>
              <w:spacing w:line="440" w:lineRule="exact"/>
              <w:ind w:leftChars="0"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此工序产生锅炉排水（定排+连排</w:t>
            </w:r>
            <w:r>
              <w:rPr>
                <w:rFonts w:hint="default" w:ascii="Times New Roman" w:hAnsi="Times New Roman" w:eastAsia="宋体" w:cs="Times New Roman"/>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W4</w:t>
            </w:r>
            <w:r>
              <w:rPr>
                <w:rFonts w:hint="eastAsia" w:cs="Times New Roman"/>
                <w:bCs/>
                <w:color w:val="000000" w:themeColor="text1"/>
                <w:szCs w:val="21"/>
                <w:highlight w:val="none"/>
                <w:lang w:val="en-US" w:eastAsia="zh-CN"/>
                <w14:textFill>
                  <w14:solidFill>
                    <w14:schemeClr w14:val="tx1"/>
                  </w14:solidFill>
                </w14:textFill>
              </w:rPr>
              <w:t>和天然气燃烧废气G1。</w:t>
            </w:r>
          </w:p>
          <w:p w14:paraId="7F3D3680">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④</w:t>
            </w:r>
            <w:r>
              <w:rPr>
                <w:rFonts w:hint="default" w:ascii="Times New Roman" w:hAnsi="Times New Roman" w:eastAsia="宋体" w:cs="Times New Roman"/>
                <w:bCs/>
                <w:color w:val="000000" w:themeColor="text1"/>
                <w:szCs w:val="21"/>
                <w:highlight w:val="none"/>
                <w14:textFill>
                  <w14:solidFill>
                    <w14:schemeClr w14:val="tx1"/>
                  </w14:solidFill>
                </w14:textFill>
              </w:rPr>
              <w:t>供热：本项目锅炉采用国际领先的低氮燃烧技术，调压后的低压天然气通过管道通入锅炉低氮燃烧器，同时通入空气助燃，天然气点燃后产生热量。</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化水站出水</w:t>
            </w:r>
            <w:r>
              <w:rPr>
                <w:rFonts w:hint="default" w:ascii="Times New Roman" w:hAnsi="Times New Roman" w:eastAsia="宋体" w:cs="Times New Roman"/>
                <w:bCs/>
                <w:color w:val="000000" w:themeColor="text1"/>
                <w:szCs w:val="21"/>
                <w:highlight w:val="none"/>
                <w14:textFill>
                  <w14:solidFill>
                    <w14:schemeClr w14:val="tx1"/>
                  </w14:solidFill>
                </w14:textFill>
              </w:rPr>
              <w:t>通过锅炉给水泵供给锅炉，通过间接加热使锅炉内水蒸发产生蒸汽，蒸汽并入厂区供热总管，在厂区北侧接入区内供热管网向客户供热。</w:t>
            </w:r>
          </w:p>
          <w:p w14:paraId="54197371">
            <w:pPr>
              <w:numPr>
                <w:ilvl w:val="0"/>
                <w:numId w:val="0"/>
              </w:numPr>
              <w:adjustRightInd w:val="0"/>
              <w:snapToGrid w:val="0"/>
              <w:spacing w:line="440" w:lineRule="exact"/>
              <w:ind w:left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
                <w:color w:val="000000" w:themeColor="text1"/>
                <w:szCs w:val="21"/>
                <w:highlight w:val="none"/>
                <w14:textFill>
                  <w14:solidFill>
                    <w14:schemeClr w14:val="tx1"/>
                  </w14:solidFill>
                </w14:textFill>
              </w:rPr>
              <w:t>产污环节</w:t>
            </w:r>
          </w:p>
          <w:p w14:paraId="7A6EBDFE">
            <w:pPr>
              <w:adjustRightInd w:val="0"/>
              <w:snapToGrid w:val="0"/>
              <w:spacing w:line="4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cs="Times New Roman"/>
                <w:color w:val="000000" w:themeColor="text1"/>
                <w:sz w:val="21"/>
                <w:szCs w:val="21"/>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污染物产生情况表</w:t>
            </w:r>
          </w:p>
          <w:tbl>
            <w:tblPr>
              <w:tblStyle w:val="36"/>
              <w:tblW w:w="4999" w:type="pct"/>
              <w:tblInd w:w="-5"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526"/>
              <w:gridCol w:w="476"/>
              <w:gridCol w:w="1490"/>
              <w:gridCol w:w="841"/>
              <w:gridCol w:w="2084"/>
              <w:gridCol w:w="2678"/>
            </w:tblGrid>
            <w:tr w14:paraId="67EA57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blHeader/>
              </w:trPr>
              <w:tc>
                <w:tcPr>
                  <w:tcW w:w="324" w:type="pct"/>
                  <w:noWrap w:val="0"/>
                  <w:vAlign w:val="center"/>
                </w:tcPr>
                <w:p w14:paraId="5D6AD4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类别</w:t>
                  </w:r>
                </w:p>
              </w:tc>
              <w:tc>
                <w:tcPr>
                  <w:tcW w:w="294" w:type="pct"/>
                  <w:noWrap w:val="0"/>
                  <w:vAlign w:val="center"/>
                </w:tcPr>
                <w:p w14:paraId="6D56AD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编号</w:t>
                  </w:r>
                </w:p>
              </w:tc>
              <w:tc>
                <w:tcPr>
                  <w:tcW w:w="920" w:type="pct"/>
                  <w:noWrap w:val="0"/>
                  <w:vAlign w:val="center"/>
                </w:tcPr>
                <w:p w14:paraId="650AEA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污染源</w:t>
                  </w:r>
                </w:p>
              </w:tc>
              <w:tc>
                <w:tcPr>
                  <w:tcW w:w="1806" w:type="pct"/>
                  <w:gridSpan w:val="2"/>
                  <w:noWrap w:val="0"/>
                  <w:vAlign w:val="center"/>
                </w:tcPr>
                <w:p w14:paraId="6F5A5E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themeColor="text1"/>
                      <w:sz w:val="18"/>
                      <w:szCs w:val="18"/>
                      <w:highlight w:val="none"/>
                      <w14:textFill>
                        <w14:solidFill>
                          <w14:schemeClr w14:val="tx1"/>
                        </w14:solidFill>
                      </w14:textFill>
                    </w:rPr>
                  </w:pPr>
                  <w:r>
                    <w:rPr>
                      <w:rFonts w:hint="default" w:ascii="Times New Roman" w:hAnsi="Times New Roman" w:eastAsia="宋体" w:cs="Times New Roman"/>
                      <w:b/>
                      <w:color w:val="000000" w:themeColor="text1"/>
                      <w:sz w:val="18"/>
                      <w:szCs w:val="18"/>
                      <w:highlight w:val="none"/>
                      <w14:textFill>
                        <w14:solidFill>
                          <w14:schemeClr w14:val="tx1"/>
                        </w14:solidFill>
                      </w14:textFill>
                    </w:rPr>
                    <w:t>主要污染因子</w:t>
                  </w:r>
                </w:p>
              </w:tc>
              <w:tc>
                <w:tcPr>
                  <w:tcW w:w="1654" w:type="pct"/>
                  <w:noWrap w:val="0"/>
                  <w:vAlign w:val="center"/>
                </w:tcPr>
                <w:p w14:paraId="4287AC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18"/>
                      <w:szCs w:val="18"/>
                      <w:highlight w:val="none"/>
                      <w:lang w:val="en-US" w:eastAsia="zh-CN"/>
                      <w14:textFill>
                        <w14:solidFill>
                          <w14:schemeClr w14:val="tx1"/>
                        </w14:solidFill>
                      </w14:textFill>
                    </w:rPr>
                    <w:t>治理措施和去向</w:t>
                  </w:r>
                </w:p>
              </w:tc>
            </w:tr>
            <w:tr w14:paraId="3C21F6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blHeader/>
              </w:trPr>
              <w:tc>
                <w:tcPr>
                  <w:tcW w:w="324" w:type="pct"/>
                  <w:noWrap w:val="0"/>
                  <w:vAlign w:val="center"/>
                </w:tcPr>
                <w:p w14:paraId="48EE20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废气</w:t>
                  </w:r>
                </w:p>
              </w:tc>
              <w:tc>
                <w:tcPr>
                  <w:tcW w:w="294" w:type="pct"/>
                  <w:noWrap w:val="0"/>
                  <w:vAlign w:val="center"/>
                </w:tcPr>
                <w:p w14:paraId="1512190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G1</w:t>
                  </w:r>
                </w:p>
              </w:tc>
              <w:tc>
                <w:tcPr>
                  <w:tcW w:w="920" w:type="pct"/>
                  <w:noWrap w:val="0"/>
                  <w:vAlign w:val="center"/>
                </w:tcPr>
                <w:p w14:paraId="79AB82A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天然气燃烧废气</w:t>
                  </w:r>
                </w:p>
              </w:tc>
              <w:tc>
                <w:tcPr>
                  <w:tcW w:w="1806" w:type="pct"/>
                  <w:gridSpan w:val="2"/>
                  <w:noWrap w:val="0"/>
                  <w:vAlign w:val="center"/>
                </w:tcPr>
                <w:p w14:paraId="4D85B9A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SO</w:t>
                  </w:r>
                  <w:r>
                    <w:rPr>
                      <w:rFonts w:hint="default" w:ascii="Times New Roman" w:hAnsi="Times New Roman" w:eastAsia="宋体" w:cs="Times New Roman"/>
                      <w:bCs/>
                      <w:color w:val="000000" w:themeColor="text1"/>
                      <w:sz w:val="18"/>
                      <w:szCs w:val="18"/>
                      <w:highlight w:val="none"/>
                      <w:vertAlign w:val="subscript"/>
                      <w:lang w:val="en-US" w:eastAsia="zh-CN"/>
                      <w14:textFill>
                        <w14:solidFill>
                          <w14:schemeClr w14:val="tx1"/>
                        </w14:solidFill>
                      </w14:textFill>
                    </w:rPr>
                    <w:t>2</w:t>
                  </w: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、NOx、颗粒物</w:t>
                  </w:r>
                </w:p>
              </w:tc>
              <w:tc>
                <w:tcPr>
                  <w:tcW w:w="1654" w:type="pct"/>
                  <w:noWrap w:val="0"/>
                  <w:vAlign w:val="center"/>
                </w:tcPr>
                <w:p w14:paraId="257C80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低氮燃烧、经25米排气筒（</w:t>
                  </w:r>
                  <w:r>
                    <w:rPr>
                      <w:rFonts w:hint="eastAsia" w:cs="Times New Roman"/>
                      <w:bCs/>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）排放</w:t>
                  </w:r>
                </w:p>
              </w:tc>
            </w:tr>
            <w:tr w14:paraId="4788467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restart"/>
                  <w:noWrap w:val="0"/>
                  <w:vAlign w:val="center"/>
                </w:tcPr>
                <w:p w14:paraId="3DDC6F9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废水</w:t>
                  </w:r>
                </w:p>
              </w:tc>
              <w:tc>
                <w:tcPr>
                  <w:tcW w:w="294" w:type="pct"/>
                  <w:tcBorders>
                    <w:bottom w:val="single" w:color="auto" w:sz="4" w:space="0"/>
                  </w:tcBorders>
                  <w:noWrap w:val="0"/>
                  <w:vAlign w:val="center"/>
                </w:tcPr>
                <w:p w14:paraId="43E985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W1</w:t>
                  </w:r>
                </w:p>
              </w:tc>
              <w:tc>
                <w:tcPr>
                  <w:tcW w:w="920" w:type="pct"/>
                  <w:tcBorders>
                    <w:bottom w:val="single" w:color="auto" w:sz="4" w:space="0"/>
                  </w:tcBorders>
                  <w:noWrap w:val="0"/>
                  <w:vAlign w:val="center"/>
                </w:tcPr>
                <w:p w14:paraId="3212BE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净水站强排水</w:t>
                  </w:r>
                </w:p>
              </w:tc>
              <w:tc>
                <w:tcPr>
                  <w:tcW w:w="1806" w:type="pct"/>
                  <w:gridSpan w:val="2"/>
                  <w:tcBorders>
                    <w:bottom w:val="single" w:color="auto" w:sz="4" w:space="0"/>
                  </w:tcBorders>
                  <w:noWrap w:val="0"/>
                  <w:vAlign w:val="center"/>
                </w:tcPr>
                <w:p w14:paraId="68E060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COD、SS</w:t>
                  </w:r>
                </w:p>
              </w:tc>
              <w:tc>
                <w:tcPr>
                  <w:tcW w:w="1654" w:type="pct"/>
                  <w:vMerge w:val="restart"/>
                  <w:noWrap w:val="0"/>
                  <w:vAlign w:val="center"/>
                </w:tcPr>
                <w:p w14:paraId="1067B2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回流至净水站处理，不外排</w:t>
                  </w:r>
                </w:p>
              </w:tc>
            </w:tr>
            <w:tr w14:paraId="2EC1FA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1D5A197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c>
                <w:tcPr>
                  <w:tcW w:w="294" w:type="pct"/>
                  <w:tcBorders>
                    <w:bottom w:val="single" w:color="auto" w:sz="4" w:space="0"/>
                  </w:tcBorders>
                  <w:noWrap w:val="0"/>
                  <w:vAlign w:val="center"/>
                </w:tcPr>
                <w:p w14:paraId="5A5131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W4</w:t>
                  </w:r>
                </w:p>
              </w:tc>
              <w:tc>
                <w:tcPr>
                  <w:tcW w:w="920" w:type="pct"/>
                  <w:tcBorders>
                    <w:bottom w:val="single" w:color="auto" w:sz="4" w:space="0"/>
                  </w:tcBorders>
                  <w:noWrap w:val="0"/>
                  <w:vAlign w:val="center"/>
                </w:tcPr>
                <w:p w14:paraId="32C345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锅炉排水</w:t>
                  </w:r>
                </w:p>
              </w:tc>
              <w:tc>
                <w:tcPr>
                  <w:tcW w:w="1806" w:type="pct"/>
                  <w:gridSpan w:val="2"/>
                  <w:tcBorders>
                    <w:bottom w:val="single" w:color="auto" w:sz="4" w:space="0"/>
                  </w:tcBorders>
                  <w:noWrap w:val="0"/>
                  <w:vAlign w:val="center"/>
                </w:tcPr>
                <w:p w14:paraId="3BF44C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COD、SS</w:t>
                  </w:r>
                </w:p>
              </w:tc>
              <w:tc>
                <w:tcPr>
                  <w:tcW w:w="1654" w:type="pct"/>
                  <w:vMerge w:val="continue"/>
                  <w:tcBorders>
                    <w:bottom w:val="single" w:color="auto" w:sz="4" w:space="0"/>
                  </w:tcBorders>
                  <w:noWrap w:val="0"/>
                  <w:vAlign w:val="center"/>
                </w:tcPr>
                <w:p w14:paraId="1C0973A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r>
            <w:tr w14:paraId="5F6BD9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287871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tcBorders>
                    <w:top w:val="single" w:color="auto" w:sz="4" w:space="0"/>
                  </w:tcBorders>
                  <w:shd w:val="clear" w:color="auto" w:fill="auto"/>
                  <w:noWrap w:val="0"/>
                  <w:vAlign w:val="center"/>
                </w:tcPr>
                <w:p w14:paraId="76D795E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W2</w:t>
                  </w:r>
                </w:p>
              </w:tc>
              <w:tc>
                <w:tcPr>
                  <w:tcW w:w="920" w:type="pct"/>
                  <w:tcBorders>
                    <w:top w:val="single" w:color="auto" w:sz="4" w:space="0"/>
                  </w:tcBorders>
                  <w:shd w:val="clear" w:color="auto" w:fill="auto"/>
                  <w:noWrap w:val="0"/>
                  <w:vAlign w:val="center"/>
                </w:tcPr>
                <w:p w14:paraId="4F19F3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反渗透浓水</w:t>
                  </w:r>
                </w:p>
              </w:tc>
              <w:tc>
                <w:tcPr>
                  <w:tcW w:w="1806" w:type="pct"/>
                  <w:gridSpan w:val="2"/>
                  <w:tcBorders>
                    <w:top w:val="single" w:color="auto" w:sz="4" w:space="0"/>
                    <w:bottom w:val="single" w:color="auto" w:sz="4" w:space="0"/>
                  </w:tcBorders>
                  <w:shd w:val="clear" w:color="auto" w:fill="auto"/>
                  <w:noWrap w:val="0"/>
                  <w:vAlign w:val="center"/>
                </w:tcPr>
                <w:p w14:paraId="77967E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COD、SS</w:t>
                  </w:r>
                </w:p>
              </w:tc>
              <w:tc>
                <w:tcPr>
                  <w:tcW w:w="1654" w:type="pct"/>
                  <w:vMerge w:val="restart"/>
                  <w:tcBorders>
                    <w:top w:val="single" w:color="auto" w:sz="4" w:space="0"/>
                  </w:tcBorders>
                  <w:noWrap w:val="0"/>
                  <w:vAlign w:val="center"/>
                </w:tcPr>
                <w:p w14:paraId="4A83CFB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接管平望镇污水处理厂</w:t>
                  </w:r>
                </w:p>
              </w:tc>
            </w:tr>
            <w:tr w14:paraId="78132E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74668F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tcBorders>
                    <w:top w:val="single" w:color="auto" w:sz="4" w:space="0"/>
                  </w:tcBorders>
                  <w:shd w:val="clear" w:color="auto" w:fill="auto"/>
                  <w:noWrap w:val="0"/>
                  <w:vAlign w:val="center"/>
                </w:tcPr>
                <w:p w14:paraId="0C6F4F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W3</w:t>
                  </w:r>
                </w:p>
              </w:tc>
              <w:tc>
                <w:tcPr>
                  <w:tcW w:w="920" w:type="pct"/>
                  <w:tcBorders>
                    <w:top w:val="single" w:color="auto" w:sz="4" w:space="0"/>
                  </w:tcBorders>
                  <w:shd w:val="clear" w:color="auto" w:fill="auto"/>
                  <w:noWrap w:val="0"/>
                  <w:vAlign w:val="center"/>
                </w:tcPr>
                <w:p w14:paraId="64050A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酸碱废水</w:t>
                  </w:r>
                </w:p>
              </w:tc>
              <w:tc>
                <w:tcPr>
                  <w:tcW w:w="1806" w:type="pct"/>
                  <w:gridSpan w:val="2"/>
                  <w:tcBorders>
                    <w:top w:val="single" w:color="auto" w:sz="4" w:space="0"/>
                    <w:bottom w:val="single" w:color="auto" w:sz="4" w:space="0"/>
                  </w:tcBorders>
                  <w:shd w:val="clear" w:color="auto" w:fill="auto"/>
                  <w:noWrap w:val="0"/>
                  <w:vAlign w:val="center"/>
                </w:tcPr>
                <w:p w14:paraId="5D9641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PH、</w:t>
                  </w: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COD、SS</w:t>
                  </w:r>
                </w:p>
              </w:tc>
              <w:tc>
                <w:tcPr>
                  <w:tcW w:w="1654" w:type="pct"/>
                  <w:vMerge w:val="continue"/>
                  <w:noWrap w:val="0"/>
                  <w:vAlign w:val="center"/>
                </w:tcPr>
                <w:p w14:paraId="753189B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r>
            <w:tr w14:paraId="5F1E38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7EBF35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tcBorders>
                    <w:top w:val="single" w:color="auto" w:sz="4" w:space="0"/>
                  </w:tcBorders>
                  <w:shd w:val="clear" w:color="auto" w:fill="auto"/>
                  <w:noWrap w:val="0"/>
                  <w:vAlign w:val="center"/>
                </w:tcPr>
                <w:p w14:paraId="28B461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t>
                  </w:r>
                </w:p>
              </w:tc>
              <w:tc>
                <w:tcPr>
                  <w:tcW w:w="920" w:type="pct"/>
                  <w:tcBorders>
                    <w:top w:val="single" w:color="auto" w:sz="4" w:space="0"/>
                  </w:tcBorders>
                  <w:shd w:val="clear" w:color="auto" w:fill="auto"/>
                  <w:noWrap w:val="0"/>
                  <w:vAlign w:val="center"/>
                </w:tcPr>
                <w:p w14:paraId="2B2213B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生活污水</w:t>
                  </w:r>
                </w:p>
              </w:tc>
              <w:tc>
                <w:tcPr>
                  <w:tcW w:w="1806" w:type="pct"/>
                  <w:gridSpan w:val="2"/>
                  <w:tcBorders>
                    <w:top w:val="single" w:color="auto" w:sz="4" w:space="0"/>
                    <w:bottom w:val="single" w:color="auto" w:sz="4" w:space="0"/>
                  </w:tcBorders>
                  <w:shd w:val="clear" w:color="auto" w:fill="auto"/>
                  <w:noWrap w:val="0"/>
                  <w:vAlign w:val="center"/>
                </w:tcPr>
                <w:p w14:paraId="0617F7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COD、SS、氨氮、总磷、总氮</w:t>
                  </w:r>
                </w:p>
              </w:tc>
              <w:tc>
                <w:tcPr>
                  <w:tcW w:w="1654" w:type="pct"/>
                  <w:tcBorders>
                    <w:top w:val="single" w:color="auto" w:sz="4" w:space="0"/>
                    <w:bottom w:val="single" w:color="auto" w:sz="4" w:space="0"/>
                  </w:tcBorders>
                  <w:noWrap w:val="0"/>
                  <w:vAlign w:val="center"/>
                </w:tcPr>
                <w:p w14:paraId="46F635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接管平望生活污水处理有限公司</w:t>
                  </w:r>
                </w:p>
              </w:tc>
            </w:tr>
            <w:tr w14:paraId="79E833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restart"/>
                  <w:tcBorders>
                    <w:top w:val="single" w:color="auto" w:sz="4" w:space="0"/>
                  </w:tcBorders>
                  <w:noWrap w:val="0"/>
                  <w:vAlign w:val="center"/>
                </w:tcPr>
                <w:p w14:paraId="28DC40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固废</w:t>
                  </w:r>
                </w:p>
              </w:tc>
              <w:tc>
                <w:tcPr>
                  <w:tcW w:w="294" w:type="pct"/>
                  <w:tcBorders>
                    <w:top w:val="single" w:color="auto" w:sz="4" w:space="0"/>
                  </w:tcBorders>
                  <w:noWrap w:val="0"/>
                  <w:vAlign w:val="center"/>
                </w:tcPr>
                <w:p w14:paraId="3FC4EE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S1</w:t>
                  </w:r>
                </w:p>
              </w:tc>
              <w:tc>
                <w:tcPr>
                  <w:tcW w:w="920" w:type="pct"/>
                  <w:vMerge w:val="restart"/>
                  <w:tcBorders>
                    <w:top w:val="single" w:color="auto" w:sz="4" w:space="0"/>
                  </w:tcBorders>
                  <w:noWrap w:val="0"/>
                  <w:vAlign w:val="center"/>
                </w:tcPr>
                <w:p w14:paraId="19E2416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一般固废</w:t>
                  </w:r>
                </w:p>
              </w:tc>
              <w:tc>
                <w:tcPr>
                  <w:tcW w:w="1806" w:type="pct"/>
                  <w:gridSpan w:val="2"/>
                  <w:tcBorders>
                    <w:top w:val="single" w:color="auto" w:sz="4" w:space="0"/>
                    <w:bottom w:val="single" w:color="auto" w:sz="4" w:space="0"/>
                  </w:tcBorders>
                  <w:noWrap w:val="0"/>
                  <w:vAlign w:val="center"/>
                </w:tcPr>
                <w:p w14:paraId="014011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净水站沉淀泥沙</w:t>
                  </w:r>
                </w:p>
              </w:tc>
              <w:tc>
                <w:tcPr>
                  <w:tcW w:w="1654" w:type="pct"/>
                  <w:tcBorders>
                    <w:top w:val="single" w:color="auto" w:sz="4" w:space="0"/>
                    <w:bottom w:val="single" w:color="auto" w:sz="4" w:space="0"/>
                  </w:tcBorders>
                  <w:noWrap w:val="0"/>
                  <w:vAlign w:val="center"/>
                </w:tcPr>
                <w:p w14:paraId="0C778D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用于厂内绿化</w:t>
                  </w:r>
                </w:p>
              </w:tc>
            </w:tr>
            <w:tr w14:paraId="2758DC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3DBEED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noWrap w:val="0"/>
                  <w:vAlign w:val="center"/>
                </w:tcPr>
                <w:p w14:paraId="77546C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S2</w:t>
                  </w:r>
                </w:p>
              </w:tc>
              <w:tc>
                <w:tcPr>
                  <w:tcW w:w="920" w:type="pct"/>
                  <w:vMerge w:val="continue"/>
                  <w:noWrap w:val="0"/>
                  <w:vAlign w:val="center"/>
                </w:tcPr>
                <w:p w14:paraId="4E5815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c>
                <w:tcPr>
                  <w:tcW w:w="519" w:type="pct"/>
                  <w:vMerge w:val="restart"/>
                  <w:tcBorders>
                    <w:top w:val="single" w:color="auto" w:sz="4" w:space="0"/>
                  </w:tcBorders>
                  <w:noWrap w:val="0"/>
                  <w:vAlign w:val="center"/>
                </w:tcPr>
                <w:p w14:paraId="66838D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化水站</w:t>
                  </w:r>
                </w:p>
              </w:tc>
              <w:tc>
                <w:tcPr>
                  <w:tcW w:w="1287" w:type="pct"/>
                  <w:tcBorders>
                    <w:top w:val="single" w:color="auto" w:sz="4" w:space="0"/>
                  </w:tcBorders>
                  <w:noWrap w:val="0"/>
                  <w:vAlign w:val="center"/>
                </w:tcPr>
                <w:p w14:paraId="4FE89F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超滤及反渗透膜</w:t>
                  </w:r>
                </w:p>
              </w:tc>
              <w:tc>
                <w:tcPr>
                  <w:tcW w:w="1654" w:type="pct"/>
                  <w:vMerge w:val="restart"/>
                  <w:tcBorders>
                    <w:top w:val="single" w:color="auto" w:sz="4" w:space="0"/>
                  </w:tcBorders>
                  <w:noWrap w:val="0"/>
                  <w:vAlign w:val="center"/>
                </w:tcPr>
                <w:p w14:paraId="593264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统一收集后委外处理</w:t>
                  </w:r>
                </w:p>
              </w:tc>
            </w:tr>
            <w:tr w14:paraId="0C6500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54AEFB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noWrap w:val="0"/>
                  <w:vAlign w:val="center"/>
                </w:tcPr>
                <w:p w14:paraId="01A728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S3</w:t>
                  </w:r>
                </w:p>
              </w:tc>
              <w:tc>
                <w:tcPr>
                  <w:tcW w:w="920" w:type="pct"/>
                  <w:vMerge w:val="continue"/>
                  <w:noWrap w:val="0"/>
                  <w:vAlign w:val="center"/>
                </w:tcPr>
                <w:p w14:paraId="0F3F8D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c>
                <w:tcPr>
                  <w:tcW w:w="519" w:type="pct"/>
                  <w:vMerge w:val="continue"/>
                  <w:noWrap w:val="0"/>
                  <w:vAlign w:val="center"/>
                </w:tcPr>
                <w:p w14:paraId="14E381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c>
                <w:tcPr>
                  <w:tcW w:w="1287" w:type="pct"/>
                  <w:noWrap w:val="0"/>
                  <w:vAlign w:val="center"/>
                </w:tcPr>
                <w:p w14:paraId="279E37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废滤芯</w:t>
                  </w:r>
                </w:p>
              </w:tc>
              <w:tc>
                <w:tcPr>
                  <w:tcW w:w="1654" w:type="pct"/>
                  <w:vMerge w:val="continue"/>
                  <w:noWrap w:val="0"/>
                  <w:vAlign w:val="center"/>
                </w:tcPr>
                <w:p w14:paraId="5A8468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r>
            <w:tr w14:paraId="733717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5E013F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noWrap w:val="0"/>
                  <w:vAlign w:val="center"/>
                </w:tcPr>
                <w:p w14:paraId="38C30C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S4</w:t>
                  </w:r>
                </w:p>
              </w:tc>
              <w:tc>
                <w:tcPr>
                  <w:tcW w:w="920" w:type="pct"/>
                  <w:tcBorders>
                    <w:bottom w:val="single" w:color="auto" w:sz="4" w:space="0"/>
                  </w:tcBorders>
                  <w:noWrap w:val="0"/>
                  <w:vAlign w:val="center"/>
                </w:tcPr>
                <w:p w14:paraId="7354BB4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危险废物</w:t>
                  </w:r>
                </w:p>
              </w:tc>
              <w:tc>
                <w:tcPr>
                  <w:tcW w:w="519" w:type="pct"/>
                  <w:vMerge w:val="continue"/>
                  <w:tcBorders>
                    <w:bottom w:val="single" w:color="auto" w:sz="4" w:space="0"/>
                  </w:tcBorders>
                  <w:noWrap w:val="0"/>
                  <w:vAlign w:val="center"/>
                </w:tcPr>
                <w:p w14:paraId="47C304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p>
              </w:tc>
              <w:tc>
                <w:tcPr>
                  <w:tcW w:w="1287" w:type="pct"/>
                  <w:tcBorders>
                    <w:bottom w:val="single" w:color="auto" w:sz="4" w:space="0"/>
                  </w:tcBorders>
                  <w:noWrap w:val="0"/>
                  <w:vAlign w:val="center"/>
                </w:tcPr>
                <w:p w14:paraId="45061A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废离子交换树脂</w:t>
                  </w:r>
                </w:p>
              </w:tc>
              <w:tc>
                <w:tcPr>
                  <w:tcW w:w="1654" w:type="pct"/>
                  <w:noWrap w:val="0"/>
                  <w:vAlign w:val="center"/>
                </w:tcPr>
                <w:p w14:paraId="4A9D5A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委托有资质单位处理</w:t>
                  </w:r>
                </w:p>
              </w:tc>
            </w:tr>
            <w:tr w14:paraId="0E508F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vMerge w:val="continue"/>
                  <w:noWrap w:val="0"/>
                  <w:vAlign w:val="center"/>
                </w:tcPr>
                <w:p w14:paraId="5E072F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94" w:type="pct"/>
                  <w:noWrap w:val="0"/>
                  <w:vAlign w:val="center"/>
                </w:tcPr>
                <w:p w14:paraId="5FB56B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w:t>
                  </w:r>
                </w:p>
              </w:tc>
              <w:tc>
                <w:tcPr>
                  <w:tcW w:w="920" w:type="pct"/>
                  <w:tcBorders>
                    <w:bottom w:val="single" w:color="auto" w:sz="4" w:space="0"/>
                  </w:tcBorders>
                  <w:noWrap w:val="0"/>
                  <w:vAlign w:val="center"/>
                </w:tcPr>
                <w:p w14:paraId="207F102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生活垃圾</w:t>
                  </w:r>
                </w:p>
              </w:tc>
              <w:tc>
                <w:tcPr>
                  <w:tcW w:w="1806" w:type="pct"/>
                  <w:gridSpan w:val="2"/>
                  <w:tcBorders>
                    <w:top w:val="single" w:color="auto" w:sz="4" w:space="0"/>
                    <w:bottom w:val="single" w:color="auto" w:sz="4" w:space="0"/>
                  </w:tcBorders>
                  <w:noWrap w:val="0"/>
                  <w:vAlign w:val="center"/>
                </w:tcPr>
                <w:p w14:paraId="60F1BC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生活垃圾</w:t>
                  </w:r>
                </w:p>
              </w:tc>
              <w:tc>
                <w:tcPr>
                  <w:tcW w:w="1654" w:type="pct"/>
                  <w:noWrap w:val="0"/>
                  <w:vAlign w:val="center"/>
                </w:tcPr>
                <w:p w14:paraId="48C069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委托环卫进行处理</w:t>
                  </w:r>
                </w:p>
              </w:tc>
            </w:tr>
            <w:tr w14:paraId="3144E9D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70" w:hRule="atLeast"/>
              </w:trPr>
              <w:tc>
                <w:tcPr>
                  <w:tcW w:w="324" w:type="pct"/>
                  <w:noWrap w:val="0"/>
                  <w:vAlign w:val="center"/>
                </w:tcPr>
                <w:p w14:paraId="04D196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噪声</w:t>
                  </w:r>
                </w:p>
              </w:tc>
              <w:tc>
                <w:tcPr>
                  <w:tcW w:w="294" w:type="pct"/>
                  <w:noWrap w:val="0"/>
                  <w:vAlign w:val="center"/>
                </w:tcPr>
                <w:p w14:paraId="0CAE1B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N</w:t>
                  </w:r>
                </w:p>
              </w:tc>
              <w:tc>
                <w:tcPr>
                  <w:tcW w:w="920" w:type="pct"/>
                  <w:tcBorders>
                    <w:top w:val="single" w:color="auto" w:sz="4" w:space="0"/>
                  </w:tcBorders>
                  <w:noWrap w:val="0"/>
                  <w:vAlign w:val="center"/>
                </w:tcPr>
                <w:p w14:paraId="27B3E94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锅炉等</w:t>
                  </w:r>
                  <w:r>
                    <w:rPr>
                      <w:rFonts w:hint="default" w:ascii="Times New Roman" w:hAnsi="Times New Roman" w:eastAsia="宋体" w:cs="Times New Roman"/>
                      <w:bCs/>
                      <w:color w:val="000000" w:themeColor="text1"/>
                      <w:sz w:val="18"/>
                      <w:szCs w:val="18"/>
                      <w:highlight w:val="none"/>
                      <w14:textFill>
                        <w14:solidFill>
                          <w14:schemeClr w14:val="tx1"/>
                        </w14:solidFill>
                      </w14:textFill>
                    </w:rPr>
                    <w:t>设备噪声</w:t>
                  </w:r>
                </w:p>
              </w:tc>
              <w:tc>
                <w:tcPr>
                  <w:tcW w:w="1806" w:type="pct"/>
                  <w:gridSpan w:val="2"/>
                  <w:tcBorders>
                    <w:top w:val="single" w:color="auto" w:sz="4" w:space="0"/>
                  </w:tcBorders>
                  <w:noWrap w:val="0"/>
                  <w:vAlign w:val="center"/>
                </w:tcPr>
                <w:p w14:paraId="5CACC8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机械噪声</w:t>
                  </w:r>
                </w:p>
              </w:tc>
              <w:tc>
                <w:tcPr>
                  <w:tcW w:w="1654" w:type="pct"/>
                  <w:noWrap w:val="0"/>
                  <w:vAlign w:val="center"/>
                </w:tcPr>
                <w:p w14:paraId="1D936E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设备减振、车间噪声屏蔽</w:t>
                  </w:r>
                </w:p>
              </w:tc>
            </w:tr>
          </w:tbl>
          <w:p w14:paraId="058DFE5D">
            <w:pPr>
              <w:adjustRightInd w:val="0"/>
              <w:snapToGrid w:val="0"/>
              <w:rPr>
                <w:rFonts w:hint="default" w:ascii="Times New Roman" w:hAnsi="Times New Roman" w:eastAsia="宋体" w:cs="Times New Roman"/>
                <w:bCs/>
                <w:color w:val="000000" w:themeColor="text1"/>
                <w:szCs w:val="21"/>
                <w:highlight w:val="none"/>
                <w14:textFill>
                  <w14:solidFill>
                    <w14:schemeClr w14:val="tx1"/>
                  </w14:solidFill>
                </w14:textFill>
              </w:rPr>
            </w:pPr>
          </w:p>
          <w:p w14:paraId="435B983D">
            <w:pPr>
              <w:pStyle w:val="45"/>
              <w:rPr>
                <w:rFonts w:hint="default"/>
                <w:color w:val="000000" w:themeColor="text1"/>
                <w14:textFill>
                  <w14:solidFill>
                    <w14:schemeClr w14:val="tx1"/>
                  </w14:solidFill>
                </w14:textFill>
              </w:rPr>
            </w:pPr>
          </w:p>
        </w:tc>
      </w:tr>
      <w:tr w14:paraId="3BAFA9B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819" w:hRule="atLeast"/>
          <w:jc w:val="center"/>
        </w:trPr>
        <w:tc>
          <w:tcPr>
            <w:tcW w:w="823" w:type="dxa"/>
            <w:tcBorders>
              <w:tl2br w:val="nil"/>
              <w:tr2bl w:val="nil"/>
            </w:tcBorders>
            <w:vAlign w:val="center"/>
          </w:tcPr>
          <w:p w14:paraId="63EA316F">
            <w:pPr>
              <w:pStyle w:val="33"/>
              <w:adjustRightInd w:val="0"/>
              <w:snapToGrid w:val="0"/>
              <w:spacing w:before="0" w:beforeAutospacing="0" w:after="0" w:afterAutospacing="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14:textFill>
                  <w14:solidFill>
                    <w14:schemeClr w14:val="tx1"/>
                  </w14:solidFill>
                </w14:textFill>
              </w:rPr>
              <w:t>与项目有关的原有环境污染问题</w:t>
            </w:r>
          </w:p>
        </w:tc>
        <w:tc>
          <w:tcPr>
            <w:tcW w:w="8322" w:type="dxa"/>
            <w:tcBorders>
              <w:tl2br w:val="nil"/>
              <w:tr2bl w:val="nil"/>
            </w:tcBorders>
          </w:tcPr>
          <w:p w14:paraId="340E5952">
            <w:pPr>
              <w:numPr>
                <w:ilvl w:val="0"/>
                <w:numId w:val="7"/>
              </w:numPr>
              <w:adjustRightInd w:val="0"/>
              <w:snapToGrid w:val="0"/>
              <w:spacing w:line="400" w:lineRule="exact"/>
              <w:ind w:left="0"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现有项目环境影响评价、竣工环境保护验收情况</w:t>
            </w:r>
          </w:p>
          <w:p w14:paraId="08B1FCD0">
            <w:pPr>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w:t>
            </w:r>
            <w:r>
              <w:rPr>
                <w:rFonts w:hint="eastAsia" w:cs="Times New Roman"/>
                <w:color w:val="000000" w:themeColor="text1"/>
                <w:sz w:val="21"/>
                <w:szCs w:val="21"/>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现有项目情况</w:t>
            </w:r>
          </w:p>
          <w:tbl>
            <w:tblPr>
              <w:tblStyle w:val="36"/>
              <w:tblW w:w="4997"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424"/>
              <w:gridCol w:w="1459"/>
              <w:gridCol w:w="1328"/>
              <w:gridCol w:w="2228"/>
              <w:gridCol w:w="1578"/>
              <w:gridCol w:w="1054"/>
            </w:tblGrid>
            <w:tr w14:paraId="6D537B8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436" w:hRule="atLeast"/>
                <w:jc w:val="center"/>
              </w:trPr>
              <w:tc>
                <w:tcPr>
                  <w:tcW w:w="263" w:type="pct"/>
                  <w:noWrap w:val="0"/>
                  <w:vAlign w:val="center"/>
                </w:tcPr>
                <w:p w14:paraId="0629DA84">
                  <w:pPr>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序号</w:t>
                  </w:r>
                </w:p>
              </w:tc>
              <w:tc>
                <w:tcPr>
                  <w:tcW w:w="902" w:type="pct"/>
                  <w:noWrap w:val="0"/>
                  <w:vAlign w:val="center"/>
                </w:tcPr>
                <w:p w14:paraId="6F2EC747">
                  <w:pPr>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项目名称</w:t>
                  </w:r>
                </w:p>
              </w:tc>
              <w:tc>
                <w:tcPr>
                  <w:tcW w:w="822" w:type="pct"/>
                  <w:noWrap w:val="0"/>
                  <w:vAlign w:val="center"/>
                </w:tcPr>
                <w:p w14:paraId="54FE3D14">
                  <w:pPr>
                    <w:jc w:val="cente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项目内容</w:t>
                  </w:r>
                </w:p>
              </w:tc>
              <w:tc>
                <w:tcPr>
                  <w:tcW w:w="1380" w:type="pct"/>
                  <w:noWrap w:val="0"/>
                  <w:vAlign w:val="center"/>
                </w:tcPr>
                <w:p w14:paraId="0E36FAA1">
                  <w:pPr>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审批日期及文号</w:t>
                  </w:r>
                </w:p>
              </w:tc>
              <w:tc>
                <w:tcPr>
                  <w:tcW w:w="977" w:type="pct"/>
                  <w:noWrap w:val="0"/>
                  <w:vAlign w:val="center"/>
                </w:tcPr>
                <w:p w14:paraId="33A9A02F">
                  <w:pPr>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验收日期及文号</w:t>
                  </w:r>
                </w:p>
              </w:tc>
              <w:tc>
                <w:tcPr>
                  <w:tcW w:w="653" w:type="pct"/>
                  <w:noWrap w:val="0"/>
                  <w:vAlign w:val="center"/>
                </w:tcPr>
                <w:p w14:paraId="3882585D">
                  <w:pPr>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建成情况</w:t>
                  </w:r>
                </w:p>
              </w:tc>
            </w:tr>
            <w:tr w14:paraId="3FF8F76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263" w:type="pct"/>
                  <w:noWrap w:val="0"/>
                  <w:vAlign w:val="center"/>
                </w:tcPr>
                <w:p w14:paraId="17FEC15B">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1</w:t>
                  </w:r>
                </w:p>
              </w:tc>
              <w:tc>
                <w:tcPr>
                  <w:tcW w:w="902" w:type="pct"/>
                  <w:noWrap w:val="0"/>
                  <w:vAlign w:val="center"/>
                </w:tcPr>
                <w:p w14:paraId="28C518E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江苏华电吴江2X180MW级燃机热电联产工程项目</w:t>
                  </w:r>
                </w:p>
              </w:tc>
              <w:tc>
                <w:tcPr>
                  <w:tcW w:w="822" w:type="pct"/>
                  <w:noWrap w:val="0"/>
                  <w:vAlign w:val="center"/>
                </w:tcPr>
                <w:p w14:paraId="3491D13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2×180MW</w:t>
                  </w:r>
                </w:p>
              </w:tc>
              <w:tc>
                <w:tcPr>
                  <w:tcW w:w="1380" w:type="pct"/>
                  <w:noWrap w:val="0"/>
                  <w:vAlign w:val="center"/>
                </w:tcPr>
                <w:p w14:paraId="239CC1E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09</w:t>
                  </w:r>
                  <w:r>
                    <w:rPr>
                      <w:rFonts w:hint="default" w:ascii="Times New Roman" w:hAnsi="Times New Roman" w:eastAsia="宋体" w:cs="Times New Roman"/>
                      <w:color w:val="000000" w:themeColor="text1"/>
                      <w:sz w:val="18"/>
                      <w:szCs w:val="18"/>
                      <w:highlight w:val="none"/>
                      <w14:textFill>
                        <w14:solidFill>
                          <w14:schemeClr w14:val="tx1"/>
                        </w14:solidFill>
                      </w14:textFill>
                    </w:rPr>
                    <w:t>年</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9月</w:t>
                  </w:r>
                  <w:r>
                    <w:rPr>
                      <w:rFonts w:hint="default" w:ascii="Times New Roman" w:hAnsi="Times New Roman" w:eastAsia="宋体" w:cs="Times New Roman"/>
                      <w:color w:val="000000" w:themeColor="text1"/>
                      <w:sz w:val="18"/>
                      <w:szCs w:val="18"/>
                      <w:highlight w:val="none"/>
                      <w14:textFill>
                        <w14:solidFill>
                          <w14:schemeClr w14:val="tx1"/>
                        </w14:solidFill>
                      </w14:textFill>
                    </w:rPr>
                    <w:t>2</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18"/>
                      <w:szCs w:val="18"/>
                      <w:highlight w:val="none"/>
                      <w14:textFill>
                        <w14:solidFill>
                          <w14:schemeClr w14:val="tx1"/>
                        </w14:solidFill>
                      </w14:textFill>
                    </w:rPr>
                    <w:t>日通过</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江苏省环保厅</w:t>
                  </w:r>
                  <w:r>
                    <w:rPr>
                      <w:rFonts w:hint="default" w:ascii="Times New Roman" w:hAnsi="Times New Roman" w:eastAsia="宋体" w:cs="Times New Roman"/>
                      <w:color w:val="000000" w:themeColor="text1"/>
                      <w:sz w:val="18"/>
                      <w:szCs w:val="18"/>
                      <w:highlight w:val="none"/>
                      <w14:textFill>
                        <w14:solidFill>
                          <w14:schemeClr w14:val="tx1"/>
                        </w14:solidFill>
                      </w14:textFill>
                    </w:rPr>
                    <w:t>的审批（苏环审[2009]163号）</w:t>
                  </w:r>
                </w:p>
              </w:tc>
              <w:tc>
                <w:tcPr>
                  <w:tcW w:w="977" w:type="pct"/>
                  <w:noWrap w:val="0"/>
                  <w:vAlign w:val="center"/>
                </w:tcPr>
                <w:p w14:paraId="4006A551">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苏环验2015787号，2015年6月</w:t>
                  </w:r>
                </w:p>
              </w:tc>
              <w:tc>
                <w:tcPr>
                  <w:tcW w:w="653" w:type="pct"/>
                  <w:noWrap w:val="0"/>
                  <w:vAlign w:val="center"/>
                </w:tcPr>
                <w:p w14:paraId="6E6913F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运行中</w:t>
                  </w:r>
                </w:p>
              </w:tc>
            </w:tr>
            <w:tr w14:paraId="421A6DA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263" w:type="pct"/>
                  <w:noWrap w:val="0"/>
                  <w:vAlign w:val="center"/>
                </w:tcPr>
                <w:p w14:paraId="46C2479B">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2</w:t>
                  </w:r>
                </w:p>
              </w:tc>
              <w:tc>
                <w:tcPr>
                  <w:tcW w:w="902" w:type="pct"/>
                  <w:noWrap w:val="0"/>
                  <w:vAlign w:val="center"/>
                </w:tcPr>
                <w:p w14:paraId="2E47DF5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江苏华电吴江热电有限公司集中供热系统生产技术改造项目</w:t>
                  </w:r>
                </w:p>
              </w:tc>
              <w:tc>
                <w:tcPr>
                  <w:tcW w:w="822" w:type="pct"/>
                  <w:noWrap w:val="0"/>
                  <w:vAlign w:val="center"/>
                </w:tcPr>
                <w:p w14:paraId="251C8B79">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新增1台50t/h蒸汽锅炉（备用）</w:t>
                  </w:r>
                </w:p>
              </w:tc>
              <w:tc>
                <w:tcPr>
                  <w:tcW w:w="1380" w:type="pct"/>
                  <w:noWrap w:val="0"/>
                  <w:vAlign w:val="center"/>
                </w:tcPr>
                <w:p w14:paraId="4D5EB16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201</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18"/>
                      <w:szCs w:val="18"/>
                      <w:highlight w:val="none"/>
                      <w14:textFill>
                        <w14:solidFill>
                          <w14:schemeClr w14:val="tx1"/>
                        </w14:solidFill>
                      </w14:textFill>
                    </w:rPr>
                    <w:t>年</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11</w:t>
                  </w:r>
                  <w:r>
                    <w:rPr>
                      <w:rFonts w:hint="default" w:ascii="Times New Roman" w:hAnsi="Times New Roman" w:eastAsia="宋体" w:cs="Times New Roman"/>
                      <w:color w:val="000000" w:themeColor="text1"/>
                      <w:sz w:val="18"/>
                      <w:szCs w:val="18"/>
                      <w:highlight w:val="none"/>
                      <w14:textFill>
                        <w14:solidFill>
                          <w14:schemeClr w14:val="tx1"/>
                        </w14:solidFill>
                      </w14:textFill>
                    </w:rPr>
                    <w:t>月8日取得吴江市环境保护局审核意见（吴环建[2017]464号）</w:t>
                  </w:r>
                </w:p>
              </w:tc>
              <w:tc>
                <w:tcPr>
                  <w:tcW w:w="977" w:type="pct"/>
                  <w:noWrap w:val="0"/>
                  <w:vAlign w:val="center"/>
                </w:tcPr>
                <w:p w14:paraId="74AC237E">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2024年5月11日通过企业自主验收</w:t>
                  </w:r>
                </w:p>
              </w:tc>
              <w:tc>
                <w:tcPr>
                  <w:tcW w:w="653" w:type="pct"/>
                  <w:noWrap w:val="0"/>
                  <w:vAlign w:val="center"/>
                </w:tcPr>
                <w:p w14:paraId="114BEE4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运行中</w:t>
                  </w:r>
                </w:p>
              </w:tc>
            </w:tr>
          </w:tbl>
          <w:p w14:paraId="335836AC">
            <w:pPr>
              <w:numPr>
                <w:ilvl w:val="0"/>
                <w:numId w:val="7"/>
              </w:numPr>
              <w:adjustRightInd w:val="0"/>
              <w:snapToGrid w:val="0"/>
              <w:spacing w:line="400" w:lineRule="exact"/>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排污许可手续情况</w:t>
            </w:r>
          </w:p>
          <w:p w14:paraId="5DEBF157">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企业已于2024年01月16日在全国排污许可证管理信息平台取得了排污许可证，许可证编号为91320509138248965M001P，有效期至2029年01月15日。</w:t>
            </w:r>
          </w:p>
          <w:p w14:paraId="24EF41F9">
            <w:pPr>
              <w:numPr>
                <w:ilvl w:val="0"/>
                <w:numId w:val="0"/>
              </w:numPr>
              <w:adjustRightInd w:val="0"/>
              <w:snapToGrid w:val="0"/>
              <w:spacing w:line="440" w:lineRule="exact"/>
              <w:ind w:firstLine="422" w:firstLineChars="200"/>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t>3、应急预案编制情况</w:t>
            </w:r>
          </w:p>
          <w:p w14:paraId="3E8DD85D">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企业于2024年5月27日完成突发环境事件应急预案备案，风险等级为一般[一般-大气(Q0-M2-E1)+一般-水(Q1-M1-E3)]，备案编号：320509-2024-039-L。</w:t>
            </w:r>
          </w:p>
          <w:p w14:paraId="2C9A0D60">
            <w:pPr>
              <w:numPr>
                <w:ilvl w:val="0"/>
                <w:numId w:val="0"/>
              </w:numPr>
              <w:adjustRightInd w:val="0"/>
              <w:snapToGrid w:val="0"/>
              <w:spacing w:line="400" w:lineRule="exact"/>
              <w:ind w:firstLine="422" w:firstLineChars="200"/>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lang w:val="en-US" w:eastAsia="zh-CN"/>
                <w14:textFill>
                  <w14:solidFill>
                    <w14:schemeClr w14:val="tx1"/>
                  </w14:solidFill>
                </w14:textFill>
              </w:rPr>
              <w:t>4、</w:t>
            </w:r>
            <w:r>
              <w:rPr>
                <w:rFonts w:hint="default" w:ascii="Times New Roman" w:hAnsi="Times New Roman" w:eastAsia="宋体" w:cs="Times New Roman"/>
                <w:b/>
                <w:bCs/>
                <w:color w:val="000000" w:themeColor="text1"/>
                <w:highlight w:val="none"/>
                <w14:textFill>
                  <w14:solidFill>
                    <w14:schemeClr w14:val="tx1"/>
                  </w14:solidFill>
                </w14:textFill>
              </w:rPr>
              <w:t>现有</w:t>
            </w:r>
            <w:r>
              <w:rPr>
                <w:rFonts w:hint="default" w:ascii="Times New Roman" w:hAnsi="Times New Roman" w:eastAsia="宋体" w:cs="Times New Roman"/>
                <w:b/>
                <w:bCs/>
                <w:color w:val="000000" w:themeColor="text1"/>
                <w:highlight w:val="none"/>
                <w:lang w:val="en-US" w:eastAsia="zh-CN"/>
                <w14:textFill>
                  <w14:solidFill>
                    <w14:schemeClr w14:val="tx1"/>
                  </w14:solidFill>
                </w14:textFill>
              </w:rPr>
              <w:t>项目</w:t>
            </w:r>
            <w:r>
              <w:rPr>
                <w:rFonts w:hint="default" w:ascii="Times New Roman" w:hAnsi="Times New Roman" w:eastAsia="宋体" w:cs="Times New Roman"/>
                <w:b/>
                <w:bCs/>
                <w:color w:val="000000" w:themeColor="text1"/>
                <w:highlight w:val="none"/>
                <w14:textFill>
                  <w14:solidFill>
                    <w14:schemeClr w14:val="tx1"/>
                  </w14:solidFill>
                </w14:textFill>
              </w:rPr>
              <w:t>污染物排放情况</w:t>
            </w:r>
          </w:p>
          <w:p w14:paraId="2D711078">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（1）热电联产机组生产工艺</w:t>
            </w:r>
          </w:p>
          <w:p w14:paraId="35224278">
            <w:pPr>
              <w:pStyle w:val="11"/>
              <w:ind w:firstLine="0" w:firstLineChars="0"/>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drawing>
                <wp:inline distT="0" distB="0" distL="114300" distR="114300">
                  <wp:extent cx="5306060" cy="6762115"/>
                  <wp:effectExtent l="0" t="0" r="2540" b="698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5306060" cy="6762115"/>
                          </a:xfrm>
                          <a:prstGeom prst="rect">
                            <a:avLst/>
                          </a:prstGeom>
                          <a:noFill/>
                          <a:ln>
                            <a:noFill/>
                          </a:ln>
                        </pic:spPr>
                      </pic:pic>
                    </a:graphicData>
                  </a:graphic>
                </wp:inline>
              </w:drawing>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4451350</wp:posOffset>
                      </wp:positionH>
                      <wp:positionV relativeFrom="paragraph">
                        <wp:posOffset>5980430</wp:posOffset>
                      </wp:positionV>
                      <wp:extent cx="894715" cy="304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894715"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7EA3A4">
                                  <w:pPr>
                                    <w:rPr>
                                      <w:rFonts w:hint="default" w:eastAsia="宋体"/>
                                      <w:b/>
                                      <w:bCs/>
                                      <w:sz w:val="18"/>
                                      <w:szCs w:val="18"/>
                                      <w:lang w:val="en-US" w:eastAsia="zh-CN"/>
                                    </w:rPr>
                                  </w:pPr>
                                  <w:r>
                                    <w:rPr>
                                      <w:rFonts w:hint="eastAsia"/>
                                      <w:b/>
                                      <w:bCs/>
                                      <w:sz w:val="18"/>
                                      <w:szCs w:val="18"/>
                                      <w:lang w:val="en-US" w:eastAsia="zh-CN"/>
                                    </w:rPr>
                                    <w:t>反渗透浓水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0.5pt;margin-top:470.9pt;height:24pt;width:70.45pt;z-index:251666432;mso-width-relative:page;mso-height-relative:page;" filled="f" stroked="f" coordsize="21600,21600" o:gfxdata="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VoPCzcAAAACwEAAA8AAAAAAAAAAQAgAAAAIgAA&#10;AGRycy9kb3ducmV2LnhtbFBLAQIUABQAAAAIAIdO4kAGuOl4PQIAAGcEAAAOAAAAAAAAAAEAIAAA&#10;ACsBAABkcnMvZTJvRG9jLnhtbFBLBQYAAAAABgAGAFkBAADaBQAAAAA=&#10;">
                      <v:fill on="f" focussize="0,0"/>
                      <v:stroke on="f" weight="0.5pt"/>
                      <v:imagedata o:title=""/>
                      <o:lock v:ext="edit" aspectratio="f"/>
                      <v:textbox>
                        <w:txbxContent>
                          <w:p w14:paraId="357EA3A4">
                            <w:pPr>
                              <w:rPr>
                                <w:rFonts w:hint="default" w:eastAsia="宋体"/>
                                <w:b/>
                                <w:bCs/>
                                <w:sz w:val="18"/>
                                <w:szCs w:val="18"/>
                                <w:lang w:val="en-US" w:eastAsia="zh-CN"/>
                              </w:rPr>
                            </w:pPr>
                            <w:r>
                              <w:rPr>
                                <w:rFonts w:hint="eastAsia"/>
                                <w:b/>
                                <w:bCs/>
                                <w:sz w:val="18"/>
                                <w:szCs w:val="18"/>
                                <w:lang w:val="en-US" w:eastAsia="zh-CN"/>
                              </w:rPr>
                              <w:t>反渗透浓水</w:t>
                            </w:r>
                          </w:p>
                        </w:txbxContent>
                      </v:textbox>
                    </v:shap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2856865</wp:posOffset>
                      </wp:positionH>
                      <wp:positionV relativeFrom="paragraph">
                        <wp:posOffset>1679575</wp:posOffset>
                      </wp:positionV>
                      <wp:extent cx="732155" cy="304800"/>
                      <wp:effectExtent l="0" t="0" r="10795" b="0"/>
                      <wp:wrapNone/>
                      <wp:docPr id="62" name="文本框 62"/>
                      <wp:cNvGraphicFramePr/>
                      <a:graphic xmlns:a="http://schemas.openxmlformats.org/drawingml/2006/main">
                        <a:graphicData uri="http://schemas.microsoft.com/office/word/2010/wordprocessingShape">
                          <wps:wsp>
                            <wps:cNvSpPr txBox="1"/>
                            <wps:spPr>
                              <a:xfrm>
                                <a:off x="4429125" y="3813810"/>
                                <a:ext cx="732155"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084C4DC">
                                  <w:pPr>
                                    <w:rPr>
                                      <w:rFonts w:hint="eastAsia" w:eastAsia="宋体"/>
                                      <w:b/>
                                      <w:bCs/>
                                      <w:lang w:val="en-US" w:eastAsia="zh-CN"/>
                                    </w:rPr>
                                  </w:pPr>
                                  <w:r>
                                    <w:rPr>
                                      <w:rFonts w:hint="eastAsia"/>
                                      <w:b/>
                                      <w:bCs/>
                                      <w:lang w:val="en-US" w:eastAsia="zh-CN"/>
                                    </w:rPr>
                                    <w:t>热用户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4.95pt;margin-top:132.25pt;height:24pt;width:57.65pt;z-index:251665408;mso-width-relative:page;mso-height-relative:page;" fillcolor="#FFFFFF [3201]" filled="t" stroked="f" coordsize="21600,21600" o:gfxdata="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Qt6Tu&#10;1gAAAAsBAAAPAAAAAAAAAAEAIAAAACIAAABkcnMvZG93bnJldi54bWxQSwECFAAUAAAACACHTuJA&#10;4Vd2f1wCAACcBAAADgAAAAAAAAABACAAAAAlAQAAZHJzL2Uyb0RvYy54bWxQSwUGAAAAAAYABgBZ&#10;AQAA8wUAAAAA&#10;">
                      <v:fill on="t" focussize="0,0"/>
                      <v:stroke on="f" weight="0.5pt"/>
                      <v:imagedata o:title=""/>
                      <o:lock v:ext="edit" aspectratio="f"/>
                      <v:textbox>
                        <w:txbxContent>
                          <w:p w14:paraId="3084C4DC">
                            <w:pPr>
                              <w:rPr>
                                <w:rFonts w:hint="eastAsia" w:eastAsia="宋体"/>
                                <w:b/>
                                <w:bCs/>
                                <w:lang w:val="en-US" w:eastAsia="zh-CN"/>
                              </w:rPr>
                            </w:pPr>
                            <w:r>
                              <w:rPr>
                                <w:rFonts w:hint="eastAsia"/>
                                <w:b/>
                                <w:bCs/>
                                <w:lang w:val="en-US" w:eastAsia="zh-CN"/>
                              </w:rPr>
                              <w:t>热用户</w:t>
                            </w:r>
                          </w:p>
                        </w:txbxContent>
                      </v:textbox>
                    </v:shape>
                  </w:pict>
                </mc:Fallback>
              </mc:AlternateContent>
            </w:r>
          </w:p>
          <w:p w14:paraId="0602B215">
            <w:pPr>
              <w:pStyle w:val="84"/>
              <w:ind w:firstLine="482"/>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图2-</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3</w:t>
            </w:r>
            <w:r>
              <w:rPr>
                <w:rFonts w:hint="eastAsia" w:cs="Times New Roman"/>
                <w:b w:val="0"/>
                <w:bCs/>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现有项目燃气轮机组工艺流程图</w:t>
            </w:r>
          </w:p>
          <w:p w14:paraId="039F79F3">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工艺流程简要说明：</w:t>
            </w:r>
          </w:p>
          <w:p w14:paraId="720F6171">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现有项目使用两套燃气蒸汽联合循环系统，两套系统完全相同，每套系统主要有燃气轮机组、余热锅炉和蒸汽轮机组</w:t>
            </w:r>
            <w:r>
              <w:rPr>
                <w:rFonts w:hint="eastAsia" w:cs="Times New Roman"/>
                <w:bCs/>
                <w:color w:val="000000" w:themeColor="text1"/>
                <w:szCs w:val="21"/>
                <w:highlight w:val="none"/>
                <w:lang w:val="en-US" w:eastAsia="zh-CN"/>
                <w14:textFill>
                  <w14:solidFill>
                    <w14:schemeClr w14:val="tx1"/>
                  </w14:solidFill>
                </w14:textFill>
              </w:rPr>
              <w:t>等主要设备</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组成。</w:t>
            </w:r>
          </w:p>
          <w:p w14:paraId="401EB4A6">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净水站净水：从新运河抽取的水，加入聚合氯化铝、次氯酸钠进行消毒和絮凝，加药系统采用自动投加方式，再经反应沉淀处理系统处理后，进入空气擦洗滤池，出水悬浮性固体含量小于</w:t>
            </w:r>
            <w:r>
              <w:rPr>
                <w:rFonts w:hint="eastAsia" w:cs="Times New Roman"/>
                <w:bCs/>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mg/l，水质可以满足电厂工业水、循环水补给水及消防用水水质的要求。</w:t>
            </w:r>
          </w:p>
          <w:p w14:paraId="36849908">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化水</w:t>
            </w:r>
            <w:r>
              <w:rPr>
                <w:rFonts w:hint="eastAsia" w:cs="Times New Roman"/>
                <w:bCs/>
                <w:color w:val="000000" w:themeColor="text1"/>
                <w:szCs w:val="21"/>
                <w:highlight w:val="none"/>
                <w:lang w:val="en-US" w:eastAsia="zh-CN"/>
                <w14:textFill>
                  <w14:solidFill>
                    <w14:schemeClr w14:val="tx1"/>
                  </w14:solidFill>
                </w14:textFill>
              </w:rPr>
              <w:t>站</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净水：净水站处理后的水到化水</w:t>
            </w:r>
            <w:r>
              <w:rPr>
                <w:rFonts w:hint="eastAsia" w:cs="Times New Roman"/>
                <w:bCs/>
                <w:color w:val="000000" w:themeColor="text1"/>
                <w:szCs w:val="21"/>
                <w:highlight w:val="none"/>
                <w:lang w:val="en-US" w:eastAsia="zh-CN"/>
                <w14:textFill>
                  <w14:solidFill>
                    <w14:schemeClr w14:val="tx1"/>
                  </w14:solidFill>
                </w14:textFill>
              </w:rPr>
              <w:t>站</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中通过超滤</w:t>
            </w:r>
            <w:r>
              <w:rPr>
                <w:rFonts w:hint="eastAsia" w:cs="Times New Roman"/>
                <w:bCs/>
                <w:color w:val="000000" w:themeColor="text1"/>
                <w:szCs w:val="21"/>
                <w:highlight w:val="none"/>
                <w:lang w:val="en-US" w:eastAsia="zh-CN"/>
                <w14:textFill>
                  <w14:solidFill>
                    <w14:schemeClr w14:val="tx1"/>
                  </w14:solidFill>
                </w14:textFill>
              </w:rPr>
              <w:t>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、反渗透</w:t>
            </w:r>
            <w:r>
              <w:rPr>
                <w:rFonts w:hint="eastAsia" w:cs="Times New Roman"/>
                <w:bCs/>
                <w:color w:val="000000" w:themeColor="text1"/>
                <w:szCs w:val="21"/>
                <w:highlight w:val="none"/>
                <w:lang w:val="en-US" w:eastAsia="zh-CN"/>
                <w14:textFill>
                  <w14:solidFill>
                    <w14:schemeClr w14:val="tx1"/>
                  </w14:solidFill>
                </w14:textFill>
              </w:rPr>
              <w:t>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、离子交换器进行除盐，使之达到锅炉用水标准。</w:t>
            </w:r>
          </w:p>
          <w:p w14:paraId="1C878B01">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燃气轮机组：燃气轮机是以连续流动的气体为介质，把热能转换为机械功的旋转式动力机械，主要包括压气机、燃烧室、透平、控制系统和辅助系统。</w:t>
            </w:r>
          </w:p>
          <w:p w14:paraId="16BC226C">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燃气轮机从大气中抽取大量空气，经过滤器过滤后进入轴流式压气机进行压缩，连续不断地向燃烧室提供高压空气，与燃气混合。启动时通过点火器点火，点火器由高能量的电容器供电，点火器用螺栓固定在燃烧室的法兰上，并与火焰筒和与燃烧室相邻的导流外套同心。在点火时，一个或多个点火器的火花点燃相应燃烧室内的气体，其余燃烧室则通过连接这些燃烧室反应区的联焰管联焰点燃，燃烧产生的高温高压烟气（通常烟气压力0.5-1.0Mpa，温度1000-1300℃）推动燃气轮机透平旋转，经透平轴输出机械功带动发电机发出电力，燃气透平转速高达每分钟三千转。经燃气透平做功后的烟气温度降至580℃左右，进入燃气余热锅炉回收热能。</w:t>
            </w:r>
          </w:p>
          <w:p w14:paraId="4F0BDC5C">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余热锅炉：燃烧室燃烧产生的高温烟气在燃气轮机中膨胀做功，低温排气进入余热回收锅炉，排气温度约为400℃-580℃，把烟气中的热能转化成蒸汽的热能。余热锅炉产生的过热蒸汽的压力为2-5.8MPa，温度为450-530℃，蒸汽进入抽凝式汽轮发电机组发电，并提供1.6MPa 温度近 280℃的蒸汽供热。为充分回收燃气轮机排气的热量，使得蒸汽的高温高压参数得以实现，发电效率得以提高，项目配用的锅炉为双压，自然循环、无补燃、卧式余热锅炉，排烟温度为100℃左右。为减少燃气轮机排气中的氮氧化物，在燃机中设置干式低氮燃烧器。</w:t>
            </w:r>
          </w:p>
          <w:p w14:paraId="088000D8">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蒸汽轮机组：余热锅炉产生的蒸汽推动蒸汽轮机并带动发电机发出电力，发电后的蒸汽进入园区蒸汽管网供给企业用于生产。</w:t>
            </w:r>
          </w:p>
          <w:p w14:paraId="4A73BDDC">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燃气轮机和蒸汽轮机分别为单轴驱动发电机工作，单台燃气轮发电机额定功率为120MW，出线电压l5kV，蒸汽轮机发电机额定功率为60MW，出线电压10kV，两台发电机以单元接线方式，各自经升压变压器升压至220kV，经母线与外电网并网。</w:t>
            </w:r>
          </w:p>
          <w:p w14:paraId="0EE6E301">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（2）现有50t/h燃气锅炉运行工艺流程</w:t>
            </w:r>
          </w:p>
          <w:p w14:paraId="0B28465B">
            <w:pPr>
              <w:keepNext w:val="0"/>
              <w:keepLines w:val="0"/>
              <w:pageBreakBefore w:val="0"/>
              <w:widowControl w:val="0"/>
              <w:kinsoku/>
              <w:wordWrap/>
              <w:overflowPunct/>
              <w:topLinePunct w:val="0"/>
              <w:autoSpaceDE/>
              <w:autoSpaceDN/>
              <w:bidi w:val="0"/>
              <w:spacing w:before="120" w:beforeLines="50" w:line="360" w:lineRule="auto"/>
              <w:jc w:val="both"/>
              <w:textAlignment w:val="auto"/>
              <w:rPr>
                <w:rFonts w:hint="default" w:ascii="Times New Roman" w:hAnsi="Times New Roman" w:eastAsia="宋体" w:cs="Times New Roman"/>
                <w:b/>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mc:AlternateContent>
                <mc:Choice Requires="wpc">
                  <w:drawing>
                    <wp:inline distT="0" distB="0" distL="114300" distR="114300">
                      <wp:extent cx="5514340" cy="2296795"/>
                      <wp:effectExtent l="0" t="0" r="0" b="0"/>
                      <wp:docPr id="19" name="画布 19"/>
                      <wp:cNvGraphicFramePr/>
                      <a:graphic xmlns:a="http://schemas.openxmlformats.org/drawingml/2006/main">
                        <a:graphicData uri="http://schemas.microsoft.com/office/word/2010/wordprocessingCanvas">
                          <wpc:wpc>
                            <wpc:bg>
                              <a:noFill/>
                            </wpc:bg>
                            <wpc:whole>
                              <a:ln>
                                <a:noFill/>
                              </a:ln>
                            </wpc:whole>
                            <wps:wsp>
                              <wps:cNvPr id="18" name="文本框 3"/>
                              <wps:cNvSpPr txBox="1"/>
                              <wps:spPr>
                                <a:xfrm>
                                  <a:off x="1341755" y="243205"/>
                                  <a:ext cx="771525" cy="269875"/>
                                </a:xfrm>
                                <a:prstGeom prst="rect">
                                  <a:avLst/>
                                </a:prstGeom>
                                <a:solidFill>
                                  <a:srgbClr val="FFFFFF"/>
                                </a:solidFill>
                                <a:ln>
                                  <a:noFill/>
                                </a:ln>
                              </wps:spPr>
                              <wps:txbx>
                                <w:txbxContent>
                                  <w:p w14:paraId="2ACF6F42">
                                    <w:pPr>
                                      <w:rPr>
                                        <w:rFonts w:hint="default"/>
                                        <w:lang w:val="en-US" w:eastAsia="zh-CN"/>
                                      </w:rPr>
                                    </w:pPr>
                                    <w:r>
                                      <w:rPr>
                                        <w:rFonts w:hint="default"/>
                                        <w:color w:val="auto"/>
                                        <w:lang w:val="en-US" w:eastAsia="zh-CN"/>
                                      </w:rPr>
                                      <w:t>新运河</w:t>
                                    </w:r>
                                    <w:r>
                                      <w:rPr>
                                        <w:rFonts w:hint="eastAsia"/>
                                        <w:color w:val="auto"/>
                                        <w:lang w:val="en-US" w:eastAsia="zh-CN"/>
                                      </w:rPr>
                                      <w:t>水</w:t>
                                    </w:r>
                                  </w:p>
                                </w:txbxContent>
                              </wps:txbx>
                              <wps:bodyPr upright="1"/>
                            </wps:wsp>
                            <wps:wsp>
                              <wps:cNvPr id="21" name="直接连接符 4"/>
                              <wps:cNvCnPr/>
                              <wps:spPr>
                                <a:xfrm rot="5400000">
                                  <a:off x="2597130" y="630535"/>
                                  <a:ext cx="270510" cy="635"/>
                                </a:xfrm>
                                <a:prstGeom prst="line">
                                  <a:avLst/>
                                </a:prstGeom>
                                <a:ln w="9525" cap="flat" cmpd="sng">
                                  <a:solidFill>
                                    <a:srgbClr val="000000"/>
                                  </a:solidFill>
                                  <a:prstDash val="solid"/>
                                  <a:headEnd type="none" w="med" len="med"/>
                                  <a:tailEnd type="triangle" w="med" len="med"/>
                                </a:ln>
                              </wps:spPr>
                              <wps:bodyPr upright="1"/>
                            </wps:wsp>
                            <wps:wsp>
                              <wps:cNvPr id="22" name="文本框 5"/>
                              <wps:cNvSpPr txBox="1"/>
                              <wps:spPr>
                                <a:xfrm>
                                  <a:off x="2292350" y="221615"/>
                                  <a:ext cx="86995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A3F37A">
                                    <w:pPr>
                                      <w:jc w:val="center"/>
                                      <w:rPr>
                                        <w:rFonts w:hint="default" w:eastAsia="宋体"/>
                                        <w:lang w:val="en-US" w:eastAsia="zh-CN"/>
                                      </w:rPr>
                                    </w:pPr>
                                    <w:r>
                                      <w:rPr>
                                        <w:rFonts w:hint="eastAsia"/>
                                        <w:lang w:val="en-US" w:eastAsia="zh-CN"/>
                                      </w:rPr>
                                      <w:t>净水站净水</w:t>
                                    </w:r>
                                  </w:p>
                                </w:txbxContent>
                              </wps:txbx>
                              <wps:bodyPr upright="1"/>
                            </wps:wsp>
                            <wps:wsp>
                              <wps:cNvPr id="23" name="文本框 6"/>
                              <wps:cNvSpPr txBox="1"/>
                              <wps:spPr>
                                <a:xfrm>
                                  <a:off x="2223770" y="773430"/>
                                  <a:ext cx="100901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B89520">
                                    <w:pPr>
                                      <w:jc w:val="center"/>
                                      <w:rPr>
                                        <w:rFonts w:hint="default" w:eastAsia="宋体"/>
                                        <w:lang w:val="en-US" w:eastAsia="zh-CN"/>
                                      </w:rPr>
                                    </w:pPr>
                                    <w:r>
                                      <w:rPr>
                                        <w:rFonts w:hint="eastAsia"/>
                                        <w:lang w:val="en-US" w:eastAsia="zh-CN"/>
                                      </w:rPr>
                                      <w:t>化水站净水</w:t>
                                    </w:r>
                                  </w:p>
                                </w:txbxContent>
                              </wps:txbx>
                              <wps:bodyPr upright="1"/>
                            </wps:wsp>
                            <wps:wsp>
                              <wps:cNvPr id="24" name="文本框 7"/>
                              <wps:cNvSpPr txBox="1"/>
                              <wps:spPr>
                                <a:xfrm>
                                  <a:off x="2360295" y="1301750"/>
                                  <a:ext cx="73723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EF8355">
                                    <w:pPr>
                                      <w:jc w:val="center"/>
                                      <w:rPr>
                                        <w:rFonts w:hint="default" w:eastAsia="宋体"/>
                                        <w:lang w:val="en-US" w:eastAsia="zh-CN"/>
                                      </w:rPr>
                                    </w:pPr>
                                    <w:r>
                                      <w:rPr>
                                        <w:rFonts w:hint="eastAsia"/>
                                        <w:lang w:val="en-US" w:eastAsia="zh-CN"/>
                                      </w:rPr>
                                      <w:t>燃气锅炉</w:t>
                                    </w:r>
                                  </w:p>
                                </w:txbxContent>
                              </wps:txbx>
                              <wps:bodyPr upright="1"/>
                            </wps:wsp>
                            <wps:wsp>
                              <wps:cNvPr id="25" name="文本框 8"/>
                              <wps:cNvSpPr txBox="1"/>
                              <wps:spPr>
                                <a:xfrm>
                                  <a:off x="2319020" y="1906905"/>
                                  <a:ext cx="855980"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25ADD8">
                                    <w:pPr>
                                      <w:jc w:val="center"/>
                                      <w:rPr>
                                        <w:rFonts w:hint="default" w:eastAsia="宋体"/>
                                        <w:lang w:val="en-US" w:eastAsia="zh-CN"/>
                                      </w:rPr>
                                    </w:pPr>
                                    <w:r>
                                      <w:rPr>
                                        <w:rFonts w:hint="eastAsia"/>
                                        <w:lang w:val="en-US" w:eastAsia="zh-CN"/>
                                      </w:rPr>
                                      <w:t>供热</w:t>
                                    </w:r>
                                  </w:p>
                                </w:txbxContent>
                              </wps:txbx>
                              <wps:bodyPr upright="1"/>
                            </wps:wsp>
                            <wps:wsp>
                              <wps:cNvPr id="26" name="文本框 9"/>
                              <wps:cNvSpPr txBox="1"/>
                              <wps:spPr>
                                <a:xfrm>
                                  <a:off x="3564890" y="761365"/>
                                  <a:ext cx="1590675" cy="266700"/>
                                </a:xfrm>
                                <a:prstGeom prst="rect">
                                  <a:avLst/>
                                </a:prstGeom>
                                <a:noFill/>
                                <a:ln>
                                  <a:noFill/>
                                </a:ln>
                              </wps:spPr>
                              <wps:txbx>
                                <w:txbxContent>
                                  <w:p w14:paraId="4A31F581">
                                    <w:pPr>
                                      <w:jc w:val="center"/>
                                      <w:rPr>
                                        <w:rFonts w:hint="default" w:eastAsia="宋体"/>
                                        <w:lang w:val="en-US" w:eastAsia="zh-CN"/>
                                      </w:rPr>
                                    </w:pPr>
                                    <w:r>
                                      <w:rPr>
                                        <w:rFonts w:hint="eastAsia" w:eastAsia="宋体"/>
                                        <w:lang w:val="en-US" w:eastAsia="zh-CN"/>
                                      </w:rPr>
                                      <w:t>W2、W3、S2、S3、S4</w:t>
                                    </w:r>
                                  </w:p>
                                </w:txbxContent>
                              </wps:txbx>
                              <wps:bodyPr upright="1"/>
                            </wps:wsp>
                            <wps:wsp>
                              <wps:cNvPr id="27" name="直接连接符 10"/>
                              <wps:cNvCnPr/>
                              <wps:spPr>
                                <a:xfrm rot="5400000" flipV="1">
                                  <a:off x="3267055" y="1301095"/>
                                  <a:ext cx="635" cy="254000"/>
                                </a:xfrm>
                                <a:prstGeom prst="line">
                                  <a:avLst/>
                                </a:prstGeom>
                                <a:ln w="9525" cap="sq" cmpd="sng">
                                  <a:solidFill>
                                    <a:srgbClr val="000000"/>
                                  </a:solidFill>
                                  <a:prstDash val="sysDot"/>
                                  <a:headEnd type="none" w="med" len="med"/>
                                  <a:tailEnd type="triangle" w="med" len="med"/>
                                </a:ln>
                              </wps:spPr>
                              <wps:bodyPr upright="1"/>
                            </wps:wsp>
                            <wps:wsp>
                              <wps:cNvPr id="28" name="文本框 11"/>
                              <wps:cNvSpPr txBox="1"/>
                              <wps:spPr>
                                <a:xfrm>
                                  <a:off x="3493770" y="1323340"/>
                                  <a:ext cx="863600" cy="266700"/>
                                </a:xfrm>
                                <a:prstGeom prst="rect">
                                  <a:avLst/>
                                </a:prstGeom>
                                <a:noFill/>
                                <a:ln>
                                  <a:noFill/>
                                </a:ln>
                              </wps:spPr>
                              <wps:txbx>
                                <w:txbxContent>
                                  <w:p w14:paraId="243A709E">
                                    <w:pPr>
                                      <w:jc w:val="center"/>
                                      <w:rPr>
                                        <w:rFonts w:hint="default" w:eastAsia="宋体"/>
                                        <w:lang w:val="en-US" w:eastAsia="zh-CN"/>
                                      </w:rPr>
                                    </w:pPr>
                                    <w:r>
                                      <w:rPr>
                                        <w:rFonts w:hint="eastAsia" w:eastAsia="宋体"/>
                                        <w:lang w:val="en-US" w:eastAsia="zh-CN"/>
                                      </w:rPr>
                                      <w:t>G1、W4</w:t>
                                    </w:r>
                                  </w:p>
                                </w:txbxContent>
                              </wps:txbx>
                              <wps:bodyPr upright="1"/>
                            </wps:wsp>
                            <wps:wsp>
                              <wps:cNvPr id="29" name="文本框 12"/>
                              <wps:cNvSpPr txBox="1"/>
                              <wps:spPr>
                                <a:xfrm>
                                  <a:off x="3510915" y="228600"/>
                                  <a:ext cx="692150" cy="266700"/>
                                </a:xfrm>
                                <a:prstGeom prst="rect">
                                  <a:avLst/>
                                </a:prstGeom>
                                <a:noFill/>
                                <a:ln>
                                  <a:noFill/>
                                </a:ln>
                              </wps:spPr>
                              <wps:txbx>
                                <w:txbxContent>
                                  <w:p w14:paraId="028453FA">
                                    <w:pPr>
                                      <w:jc w:val="center"/>
                                      <w:rPr>
                                        <w:rFonts w:hint="default" w:eastAsia="宋体"/>
                                        <w:lang w:val="en-US" w:eastAsia="zh-CN"/>
                                      </w:rPr>
                                    </w:pPr>
                                    <w:r>
                                      <w:rPr>
                                        <w:rFonts w:hint="eastAsia" w:eastAsia="宋体"/>
                                        <w:lang w:val="en-US" w:eastAsia="zh-CN"/>
                                      </w:rPr>
                                      <w:t>W1、S1</w:t>
                                    </w:r>
                                  </w:p>
                                </w:txbxContent>
                              </wps:txbx>
                              <wps:bodyPr upright="1"/>
                            </wps:wsp>
                            <wps:wsp>
                              <wps:cNvPr id="30" name="文本框 13"/>
                              <wps:cNvSpPr txBox="1"/>
                              <wps:spPr>
                                <a:xfrm>
                                  <a:off x="107315" y="1383665"/>
                                  <a:ext cx="710565" cy="7658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F24143F">
                                    <w:pPr>
                                      <w:jc w:val="left"/>
                                      <w:rPr>
                                        <w:rFonts w:hint="eastAsia" w:eastAsia="宋体"/>
                                        <w:lang w:val="en-US" w:eastAsia="zh-CN"/>
                                      </w:rPr>
                                    </w:pPr>
                                    <w:r>
                                      <w:rPr>
                                        <w:rFonts w:hint="eastAsia" w:eastAsia="宋体"/>
                                        <w:lang w:val="en-US" w:eastAsia="zh-CN"/>
                                      </w:rPr>
                                      <w:t>图例：</w:t>
                                    </w:r>
                                  </w:p>
                                  <w:p w14:paraId="1D634C3E">
                                    <w:pPr>
                                      <w:jc w:val="left"/>
                                      <w:rPr>
                                        <w:rFonts w:hint="eastAsia" w:eastAsia="宋体"/>
                                        <w:lang w:val="en-US" w:eastAsia="zh-CN"/>
                                      </w:rPr>
                                    </w:pPr>
                                    <w:r>
                                      <w:rPr>
                                        <w:rFonts w:hint="eastAsia" w:eastAsia="宋体"/>
                                        <w:lang w:val="en-US" w:eastAsia="zh-CN"/>
                                      </w:rPr>
                                      <w:t>G：废气</w:t>
                                    </w:r>
                                  </w:p>
                                  <w:p w14:paraId="58182927">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w:t>
                                    </w:r>
                                    <w:r>
                                      <w:rPr>
                                        <w:rFonts w:hint="eastAsia" w:eastAsia="宋体"/>
                                        <w:lang w:val="en-US" w:eastAsia="zh-CN"/>
                                      </w:rPr>
                                      <w:t>：</w:t>
                                    </w:r>
                                    <w:r>
                                      <w:rPr>
                                        <w:rFonts w:hint="eastAsia" w:ascii="Times New Roman" w:hAnsi="Times New Roman" w:eastAsia="宋体" w:cs="Times New Roman"/>
                                        <w:lang w:val="en-US" w:eastAsia="zh-CN"/>
                                      </w:rPr>
                                      <w:t>废水</w:t>
                                    </w:r>
                                  </w:p>
                                  <w:p w14:paraId="3AD20759">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S</w:t>
                                    </w:r>
                                    <w:r>
                                      <w:rPr>
                                        <w:rFonts w:hint="eastAsia" w:eastAsia="宋体"/>
                                        <w:lang w:val="en-US" w:eastAsia="zh-CN"/>
                                      </w:rPr>
                                      <w:t>：</w:t>
                                    </w:r>
                                    <w:r>
                                      <w:rPr>
                                        <w:rFonts w:hint="eastAsia" w:ascii="Times New Roman" w:hAnsi="Times New Roman" w:eastAsia="宋体" w:cs="Times New Roman"/>
                                        <w:lang w:val="en-US" w:eastAsia="zh-CN"/>
                                      </w:rPr>
                                      <w:t>固废</w:t>
                                    </w:r>
                                  </w:p>
                                </w:txbxContent>
                              </wps:txbx>
                              <wps:bodyPr upright="1"/>
                            </wps:wsp>
                            <wps:wsp>
                              <wps:cNvPr id="31" name="直接连接符 14"/>
                              <wps:cNvCnPr/>
                              <wps:spPr>
                                <a:xfrm rot="5400000">
                                  <a:off x="2599035" y="1170920"/>
                                  <a:ext cx="260985" cy="635"/>
                                </a:xfrm>
                                <a:prstGeom prst="line">
                                  <a:avLst/>
                                </a:prstGeom>
                                <a:ln w="9525" cap="flat" cmpd="sng">
                                  <a:solidFill>
                                    <a:srgbClr val="000000"/>
                                  </a:solidFill>
                                  <a:prstDash val="solid"/>
                                  <a:headEnd type="none" w="med" len="med"/>
                                  <a:tailEnd type="triangle" w="med" len="med"/>
                                </a:ln>
                              </wps:spPr>
                              <wps:bodyPr upright="1"/>
                            </wps:wsp>
                            <wps:wsp>
                              <wps:cNvPr id="32" name="直接连接符 15"/>
                              <wps:cNvCnPr/>
                              <wps:spPr>
                                <a:xfrm rot="5400000" flipV="1">
                                  <a:off x="2597130" y="1712575"/>
                                  <a:ext cx="288925" cy="8890"/>
                                </a:xfrm>
                                <a:prstGeom prst="line">
                                  <a:avLst/>
                                </a:prstGeom>
                                <a:ln w="9525" cap="flat" cmpd="sng">
                                  <a:solidFill>
                                    <a:srgbClr val="000000"/>
                                  </a:solidFill>
                                  <a:prstDash val="solid"/>
                                  <a:headEnd type="none" w="med" len="med"/>
                                  <a:tailEnd type="triangle" w="med" len="med"/>
                                </a:ln>
                              </wps:spPr>
                              <wps:bodyPr upright="1"/>
                            </wps:wsp>
                            <wps:wsp>
                              <wps:cNvPr id="33" name="直接连接符 16"/>
                              <wps:cNvCnPr/>
                              <wps:spPr>
                                <a:xfrm>
                                  <a:off x="1969135" y="371475"/>
                                  <a:ext cx="266700" cy="0"/>
                                </a:xfrm>
                                <a:prstGeom prst="line">
                                  <a:avLst/>
                                </a:prstGeom>
                                <a:ln w="9525" cap="flat" cmpd="sng">
                                  <a:solidFill>
                                    <a:srgbClr val="000000"/>
                                  </a:solidFill>
                                  <a:prstDash val="solid"/>
                                  <a:headEnd type="none" w="med" len="med"/>
                                  <a:tailEnd type="triangle" w="med" len="med"/>
                                </a:ln>
                              </wps:spPr>
                              <wps:bodyPr upright="1"/>
                            </wps:wsp>
                            <wps:wsp>
                              <wps:cNvPr id="34" name="直接连接符 17"/>
                              <wps:cNvCnPr/>
                              <wps:spPr>
                                <a:xfrm rot="5400000" flipV="1">
                                  <a:off x="3336925" y="229870"/>
                                  <a:ext cx="0" cy="254000"/>
                                </a:xfrm>
                                <a:prstGeom prst="line">
                                  <a:avLst/>
                                </a:prstGeom>
                                <a:ln w="9525" cap="sq" cmpd="sng">
                                  <a:solidFill>
                                    <a:srgbClr val="000000"/>
                                  </a:solidFill>
                                  <a:prstDash val="sysDot"/>
                                  <a:headEnd type="none" w="med" len="med"/>
                                  <a:tailEnd type="triangle" w="med" len="med"/>
                                </a:ln>
                              </wps:spPr>
                              <wps:bodyPr upright="1"/>
                            </wps:wsp>
                            <wps:wsp>
                              <wps:cNvPr id="35" name="直接连接符 18"/>
                              <wps:cNvCnPr/>
                              <wps:spPr>
                                <a:xfrm rot="5400000" flipV="1">
                                  <a:off x="3394710" y="793750"/>
                                  <a:ext cx="0" cy="254000"/>
                                </a:xfrm>
                                <a:prstGeom prst="line">
                                  <a:avLst/>
                                </a:prstGeom>
                                <a:ln w="9525" cap="sq" cmpd="sng">
                                  <a:solidFill>
                                    <a:srgbClr val="000000"/>
                                  </a:solidFill>
                                  <a:prstDash val="sysDot"/>
                                  <a:headEnd type="none" w="med" len="med"/>
                                  <a:tailEnd type="triangle" w="med" len="med"/>
                                </a:ln>
                              </wps:spPr>
                              <wps:bodyPr upright="1"/>
                            </wps:wsp>
                          </wpc:wpc>
                        </a:graphicData>
                      </a:graphic>
                    </wp:inline>
                  </w:drawing>
                </mc:Choice>
                <mc:Fallback>
                  <w:pict>
                    <v:group id="_x0000_s1026" o:spid="_x0000_s1026" o:spt="203" style="height:180.85pt;width:434.2pt;" coordsize="5514340,2296795" editas="canvas" o:gfxdata="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">
                      <o:lock v:ext="edit" aspectratio="f"/>
                      <v:shape id="_x0000_s1026" o:spid="_x0000_s1026" style="position:absolute;left:0;top:0;height:2296795;width:5514340;" filled="f" stroked="f" coordsize="21600,21600" o:gfxdata="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">
                        <v:fill on="f" focussize="0,0"/>
                        <v:stroke on="f"/>
                        <v:imagedata o:title=""/>
                        <o:lock v:ext="edit" aspectratio="f"/>
                      </v:shape>
                      <v:shape id="文本框 3" o:spid="_x0000_s1026" o:spt="202" type="#_x0000_t202" style="position:absolute;left:1341755;top:243205;height:269875;width:771525;" fillcolor="#FFFFFF" filled="t" stroked="f" coordsize="21600,21600" o:gfxdata="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pWNvn1QAAAAUBAAAPAAAAAAAAAAEAIAAAACIAAABkcnMv&#10;ZG93bnJldi54bWxQSwECFAAUAAAACACHTuJAfvtSes0BAACCAwAADgAAAAAAAAABACAAAAAkAQAA&#10;ZHJzL2Uyb0RvYy54bWxQSwUGAAAAAAYABgBZAQAAYwUAAAAA&#10;">
                        <v:fill on="t" focussize="0,0"/>
                        <v:stroke on="f"/>
                        <v:imagedata o:title=""/>
                        <o:lock v:ext="edit" aspectratio="f"/>
                        <v:textbox>
                          <w:txbxContent>
                            <w:p w14:paraId="2ACF6F42">
                              <w:pPr>
                                <w:rPr>
                                  <w:rFonts w:hint="default"/>
                                  <w:lang w:val="en-US" w:eastAsia="zh-CN"/>
                                </w:rPr>
                              </w:pPr>
                              <w:r>
                                <w:rPr>
                                  <w:rFonts w:hint="default"/>
                                  <w:color w:val="auto"/>
                                  <w:lang w:val="en-US" w:eastAsia="zh-CN"/>
                                </w:rPr>
                                <w:t>新运河</w:t>
                              </w:r>
                              <w:r>
                                <w:rPr>
                                  <w:rFonts w:hint="eastAsia"/>
                                  <w:color w:val="auto"/>
                                  <w:lang w:val="en-US" w:eastAsia="zh-CN"/>
                                </w:rPr>
                                <w:t>水</w:t>
                              </w:r>
                            </w:p>
                          </w:txbxContent>
                        </v:textbox>
                      </v:shape>
                      <v:line id="直接连接符 4" o:spid="_x0000_s1026" o:spt="20" style="position:absolute;left:2597130;top:630535;height:635;width:270510;rotation:5898240f;" filled="f" stroked="t" coordsize="21600,21600" o:gfxdata="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u9/qO1gAAAAUBAAAPAAAAAAAAAAEA&#10;IAAAACIAAABkcnMvZG93bnJldi54bWxQSwECFAAUAAAACACHTuJApV748RECAAADBAAADgAAAAAA&#10;AAABACAAAAAlAQAAZHJzL2Uyb0RvYy54bWxQSwUGAAAAAAYABgBZAQAAqAUAAAAA&#10;">
                        <v:fill on="f" focussize="0,0"/>
                        <v:stroke color="#000000" joinstyle="round" endarrow="block"/>
                        <v:imagedata o:title=""/>
                        <o:lock v:ext="edit" aspectratio="f"/>
                      </v:line>
                      <v:shape id="文本框 5" o:spid="_x0000_s1026" o:spt="202" type="#_x0000_t202" style="position:absolute;left:2292350;top:221615;height:266700;width:869950;"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nE5zQ1gAAAAUBAAAPAAAAAAAA&#10;AAEAIAAAACIAAABkcnMvZG93bnJldi54bWxQSwECFAAUAAAACACHTuJAHopX2BQCAABBBAAADgAA&#10;AAAAAAABACAAAAAlAQAAZHJzL2Uyb0RvYy54bWxQSwUGAAAAAAYABgBZAQAAqwUAAAAA&#10;">
                        <v:fill on="t" focussize="0,0"/>
                        <v:stroke color="#000000" joinstyle="miter"/>
                        <v:imagedata o:title=""/>
                        <o:lock v:ext="edit" aspectratio="f"/>
                        <v:textbox>
                          <w:txbxContent>
                            <w:p w14:paraId="6AA3F37A">
                              <w:pPr>
                                <w:jc w:val="center"/>
                                <w:rPr>
                                  <w:rFonts w:hint="default" w:eastAsia="宋体"/>
                                  <w:lang w:val="en-US" w:eastAsia="zh-CN"/>
                                </w:rPr>
                              </w:pPr>
                              <w:r>
                                <w:rPr>
                                  <w:rFonts w:hint="eastAsia"/>
                                  <w:lang w:val="en-US" w:eastAsia="zh-CN"/>
                                </w:rPr>
                                <w:t>净水站净水</w:t>
                              </w:r>
                            </w:p>
                          </w:txbxContent>
                        </v:textbox>
                      </v:shape>
                      <v:shape id="文本框 6" o:spid="_x0000_s1026" o:spt="202" type="#_x0000_t202" style="position:absolute;left:2223770;top:773430;height:266700;width:1009015;"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E5zQ1gAAAAUBAAAPAAAA&#10;AAAAAAEAIAAAACIAAABkcnMvZG93bnJldi54bWxQSwECFAAUAAAACACHTuJACOzezBcCAABCBAAA&#10;DgAAAAAAAAABACAAAAAlAQAAZHJzL2Uyb0RvYy54bWxQSwUGAAAAAAYABgBZAQAArgUAAAAA&#10;">
                        <v:fill on="t" focussize="0,0"/>
                        <v:stroke color="#000000" joinstyle="miter"/>
                        <v:imagedata o:title=""/>
                        <o:lock v:ext="edit" aspectratio="f"/>
                        <v:textbox>
                          <w:txbxContent>
                            <w:p w14:paraId="0FB89520">
                              <w:pPr>
                                <w:jc w:val="center"/>
                                <w:rPr>
                                  <w:rFonts w:hint="default" w:eastAsia="宋体"/>
                                  <w:lang w:val="en-US" w:eastAsia="zh-CN"/>
                                </w:rPr>
                              </w:pPr>
                              <w:r>
                                <w:rPr>
                                  <w:rFonts w:hint="eastAsia"/>
                                  <w:lang w:val="en-US" w:eastAsia="zh-CN"/>
                                </w:rPr>
                                <w:t>化水站净水</w:t>
                              </w:r>
                            </w:p>
                          </w:txbxContent>
                        </v:textbox>
                      </v:shape>
                      <v:shape id="文本框 7" o:spid="_x0000_s1026" o:spt="202" type="#_x0000_t202" style="position:absolute;left:2360295;top:1301750;height:266700;width:737235;"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cTnNDWAAAABQEAAA8AAAAA&#10;AAAAAQAgAAAAIgAAAGRycy9kb3ducmV2LnhtbFBLAQIUABQAAAAIAIdO4kC4w7djFgIAAEIEAAAO&#10;AAAAAAAAAAEAIAAAACUBAABkcnMvZTJvRG9jLnhtbFBLBQYAAAAABgAGAFkBAACtBQAAAAA=&#10;">
                        <v:fill on="t" focussize="0,0"/>
                        <v:stroke color="#000000" joinstyle="miter"/>
                        <v:imagedata o:title=""/>
                        <o:lock v:ext="edit" aspectratio="f"/>
                        <v:textbox>
                          <w:txbxContent>
                            <w:p w14:paraId="72EF8355">
                              <w:pPr>
                                <w:jc w:val="center"/>
                                <w:rPr>
                                  <w:rFonts w:hint="default" w:eastAsia="宋体"/>
                                  <w:lang w:val="en-US" w:eastAsia="zh-CN"/>
                                </w:rPr>
                              </w:pPr>
                              <w:r>
                                <w:rPr>
                                  <w:rFonts w:hint="eastAsia"/>
                                  <w:lang w:val="en-US" w:eastAsia="zh-CN"/>
                                </w:rPr>
                                <w:t>燃气锅炉</w:t>
                              </w:r>
                            </w:p>
                          </w:txbxContent>
                        </v:textbox>
                      </v:shape>
                      <v:shape id="文本框 8" o:spid="_x0000_s1026" o:spt="202" type="#_x0000_t202" style="position:absolute;left:2319020;top:1906905;height:266700;width:855980;"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cTnNDWAAAABQEAAA8AAAAA&#10;AAAAAQAgAAAAIgAAAGRycy9kb3ducmV2LnhtbFBLAQIUABQAAAAIAIdO4kDpCC8wFgIAAEIEAAAO&#10;AAAAAAAAAAEAIAAAACUBAABkcnMvZTJvRG9jLnhtbFBLBQYAAAAABgAGAFkBAACtBQAAAAA=&#10;">
                        <v:fill on="t" focussize="0,0"/>
                        <v:stroke color="#000000" joinstyle="miter"/>
                        <v:imagedata o:title=""/>
                        <o:lock v:ext="edit" aspectratio="f"/>
                        <v:textbox>
                          <w:txbxContent>
                            <w:p w14:paraId="0225ADD8">
                              <w:pPr>
                                <w:jc w:val="center"/>
                                <w:rPr>
                                  <w:rFonts w:hint="default" w:eastAsia="宋体"/>
                                  <w:lang w:val="en-US" w:eastAsia="zh-CN"/>
                                </w:rPr>
                              </w:pPr>
                              <w:r>
                                <w:rPr>
                                  <w:rFonts w:hint="eastAsia"/>
                                  <w:lang w:val="en-US" w:eastAsia="zh-CN"/>
                                </w:rPr>
                                <w:t>供热</w:t>
                              </w:r>
                            </w:p>
                          </w:txbxContent>
                        </v:textbox>
                      </v:shape>
                      <v:shape id="文本框 9" o:spid="_x0000_s1026" o:spt="202" type="#_x0000_t202" style="position:absolute;left:3564890;top:761365;height:266700;width:1590675;"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QgwG3UAAAABQEAAA8AAAAAAAAAAQAgAAAAIgAAAGRycy9kb3ducmV2LnhtbFBLAQIUABQA&#10;AAAIAIdO4kD4VhWcuwEAAFoDAAAOAAAAAAAAAAEAIAAAACMBAABkcnMvZTJvRG9jLnhtbFBLBQYA&#10;AAAABgAGAFkBAABQBQAAAAA=&#10;">
                        <v:fill on="f" focussize="0,0"/>
                        <v:stroke on="f"/>
                        <v:imagedata o:title=""/>
                        <o:lock v:ext="edit" aspectratio="f"/>
                        <v:textbox>
                          <w:txbxContent>
                            <w:p w14:paraId="4A31F581">
                              <w:pPr>
                                <w:jc w:val="center"/>
                                <w:rPr>
                                  <w:rFonts w:hint="default" w:eastAsia="宋体"/>
                                  <w:lang w:val="en-US" w:eastAsia="zh-CN"/>
                                </w:rPr>
                              </w:pPr>
                              <w:r>
                                <w:rPr>
                                  <w:rFonts w:hint="eastAsia" w:eastAsia="宋体"/>
                                  <w:lang w:val="en-US" w:eastAsia="zh-CN"/>
                                </w:rPr>
                                <w:t>W2、W3、S2、S3、S4</w:t>
                              </w:r>
                            </w:p>
                          </w:txbxContent>
                        </v:textbox>
                      </v:shape>
                      <v:line id="直接连接符 10" o:spid="_x0000_s1026" o:spt="20" style="position:absolute;left:3267055;top:1301095;flip:y;height:254000;width:635;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Skq9YAAAAFAQAADwAA&#10;AAAAAAABACAAAAAiAAAAZHJzL2Rvd25yZXYueG1sUEsBAhQAFAAAAAgAh07iQDnKGicYAgAADgQA&#10;AA4AAAAAAAAAAQAgAAAAJQEAAGRycy9lMm9Eb2MueG1sUEsFBgAAAAAGAAYAWQEAAK8FAAAAAA==&#10;">
                        <v:fill on="f" focussize="0,0"/>
                        <v:stroke color="#000000" joinstyle="round" dashstyle="1 1" endcap="square" endarrow="block"/>
                        <v:imagedata o:title=""/>
                        <o:lock v:ext="edit" aspectratio="f"/>
                      </v:line>
                      <v:shape id="文本框 11" o:spid="_x0000_s1026" o:spt="202" type="#_x0000_t202" style="position:absolute;left:3493770;top:1323340;height:266700;width:863600;"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lCDAbdQAAAAFAQAADwAAAAAAAAABACAAAAAiAAAAZHJzL2Rvd25yZXYueG1sUEsBAhQAFAAAAAgA&#10;h07iQGVW1o63AQAAWwMAAA4AAAAAAAAAAQAgAAAAIwEAAGRycy9lMm9Eb2MueG1sUEsFBgAAAAAG&#10;AAYAWQEAAEwFAAAAAA==&#10;">
                        <v:fill on="f" focussize="0,0"/>
                        <v:stroke on="f"/>
                        <v:imagedata o:title=""/>
                        <o:lock v:ext="edit" aspectratio="f"/>
                        <v:textbox>
                          <w:txbxContent>
                            <w:p w14:paraId="243A709E">
                              <w:pPr>
                                <w:jc w:val="center"/>
                                <w:rPr>
                                  <w:rFonts w:hint="default" w:eastAsia="宋体"/>
                                  <w:lang w:val="en-US" w:eastAsia="zh-CN"/>
                                </w:rPr>
                              </w:pPr>
                              <w:r>
                                <w:rPr>
                                  <w:rFonts w:hint="eastAsia" w:eastAsia="宋体"/>
                                  <w:lang w:val="en-US" w:eastAsia="zh-CN"/>
                                </w:rPr>
                                <w:t>G1、W4</w:t>
                              </w:r>
                            </w:p>
                          </w:txbxContent>
                        </v:textbox>
                      </v:shape>
                      <v:shape id="文本框 12" o:spid="_x0000_s1026" o:spt="202" type="#_x0000_t202" style="position:absolute;left:3510915;top:228600;height:266700;width:692150;" filled="f" stroked="f" coordsize="21600,21600" o:gfxdata="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lCDAbdQAAAAFAQAADwAAAAAAAAABACAAAAAiAAAAZHJzL2Rvd25yZXYueG1sUEsBAhQAFAAAAAgA&#10;h07iQOhK/mG3AQAAWgMAAA4AAAAAAAAAAQAgAAAAIwEAAGRycy9lMm9Eb2MueG1sUEsFBgAAAAAG&#10;AAYAWQEAAEwFAAAAAA==&#10;">
                        <v:fill on="f" focussize="0,0"/>
                        <v:stroke on="f"/>
                        <v:imagedata o:title=""/>
                        <o:lock v:ext="edit" aspectratio="f"/>
                        <v:textbox>
                          <w:txbxContent>
                            <w:p w14:paraId="028453FA">
                              <w:pPr>
                                <w:jc w:val="center"/>
                                <w:rPr>
                                  <w:rFonts w:hint="default" w:eastAsia="宋体"/>
                                  <w:lang w:val="en-US" w:eastAsia="zh-CN"/>
                                </w:rPr>
                              </w:pPr>
                              <w:r>
                                <w:rPr>
                                  <w:rFonts w:hint="eastAsia" w:eastAsia="宋体"/>
                                  <w:lang w:val="en-US" w:eastAsia="zh-CN"/>
                                </w:rPr>
                                <w:t>W1、S1</w:t>
                              </w:r>
                            </w:p>
                          </w:txbxContent>
                        </v:textbox>
                      </v:shape>
                      <v:shape id="文本框 13" o:spid="_x0000_s1026" o:spt="202" type="#_x0000_t202" style="position:absolute;left:107315;top:1383665;height:765810;width:710565;" fillcolor="#FFFFFF" filled="t" stroked="t" coordsize="21600,21600" o:gfxdata="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xOc0NYAAAAFAQAADwAAAAAA&#10;AAABACAAAAAiAAAAZHJzL2Rvd25yZXYueG1sUEsBAhQAFAAAAAgAh07iQIPkrSYVAgAAQgQAAA4A&#10;AAAAAAAAAQAgAAAAJQEAAGRycy9lMm9Eb2MueG1sUEsFBgAAAAAGAAYAWQEAAKwFAAAAAA==&#10;">
                        <v:fill on="t" focussize="0,0"/>
                        <v:stroke color="#000000" joinstyle="miter"/>
                        <v:imagedata o:title=""/>
                        <o:lock v:ext="edit" aspectratio="f"/>
                        <v:textbox>
                          <w:txbxContent>
                            <w:p w14:paraId="5F24143F">
                              <w:pPr>
                                <w:jc w:val="left"/>
                                <w:rPr>
                                  <w:rFonts w:hint="eastAsia" w:eastAsia="宋体"/>
                                  <w:lang w:val="en-US" w:eastAsia="zh-CN"/>
                                </w:rPr>
                              </w:pPr>
                              <w:r>
                                <w:rPr>
                                  <w:rFonts w:hint="eastAsia" w:eastAsia="宋体"/>
                                  <w:lang w:val="en-US" w:eastAsia="zh-CN"/>
                                </w:rPr>
                                <w:t>图例：</w:t>
                              </w:r>
                            </w:p>
                            <w:p w14:paraId="1D634C3E">
                              <w:pPr>
                                <w:jc w:val="left"/>
                                <w:rPr>
                                  <w:rFonts w:hint="eastAsia" w:eastAsia="宋体"/>
                                  <w:lang w:val="en-US" w:eastAsia="zh-CN"/>
                                </w:rPr>
                              </w:pPr>
                              <w:r>
                                <w:rPr>
                                  <w:rFonts w:hint="eastAsia" w:eastAsia="宋体"/>
                                  <w:lang w:val="en-US" w:eastAsia="zh-CN"/>
                                </w:rPr>
                                <w:t>G：废气</w:t>
                              </w:r>
                            </w:p>
                            <w:p w14:paraId="58182927">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w:t>
                              </w:r>
                              <w:r>
                                <w:rPr>
                                  <w:rFonts w:hint="eastAsia" w:eastAsia="宋体"/>
                                  <w:lang w:val="en-US" w:eastAsia="zh-CN"/>
                                </w:rPr>
                                <w:t>：</w:t>
                              </w:r>
                              <w:r>
                                <w:rPr>
                                  <w:rFonts w:hint="eastAsia" w:ascii="Times New Roman" w:hAnsi="Times New Roman" w:eastAsia="宋体" w:cs="Times New Roman"/>
                                  <w:lang w:val="en-US" w:eastAsia="zh-CN"/>
                                </w:rPr>
                                <w:t>废水</w:t>
                              </w:r>
                            </w:p>
                            <w:p w14:paraId="3AD20759">
                              <w:pPr>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S</w:t>
                              </w:r>
                              <w:r>
                                <w:rPr>
                                  <w:rFonts w:hint="eastAsia" w:eastAsia="宋体"/>
                                  <w:lang w:val="en-US" w:eastAsia="zh-CN"/>
                                </w:rPr>
                                <w:t>：</w:t>
                              </w:r>
                              <w:r>
                                <w:rPr>
                                  <w:rFonts w:hint="eastAsia" w:ascii="Times New Roman" w:hAnsi="Times New Roman" w:eastAsia="宋体" w:cs="Times New Roman"/>
                                  <w:lang w:val="en-US" w:eastAsia="zh-CN"/>
                                </w:rPr>
                                <w:t>固废</w:t>
                              </w:r>
                            </w:p>
                          </w:txbxContent>
                        </v:textbox>
                      </v:shape>
                      <v:line id="直接连接符 14" o:spid="_x0000_s1026" o:spt="20" style="position:absolute;left:2599035;top:1170920;height:635;width:260985;rotation:5898240f;" filled="f" stroked="t" coordsize="21600,21600" o:gfxdata="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u9/qO1gAAAAUBAAAPAAAAAAAA&#10;AAEAIAAAACIAAABkcnMvZG93bnJldi54bWxQSwECFAAUAAAACACHTuJAZTyMGhQCAAAFBAAADgAA&#10;AAAAAAABACAAAAAlAQAAZHJzL2Uyb0RvYy54bWxQSwUGAAAAAAYABgBZAQAAqwUAAAAA&#10;">
                        <v:fill on="f" focussize="0,0"/>
                        <v:stroke color="#000000" joinstyle="round" endarrow="block"/>
                        <v:imagedata o:title=""/>
                        <o:lock v:ext="edit" aspectratio="f"/>
                      </v:line>
                      <v:line id="直接连接符 15" o:spid="_x0000_s1026" o:spt="20" style="position:absolute;left:2597130;top:1712575;flip:y;height:8890;width:288925;rotation:-5898240f;" filled="f" stroked="t" coordsize="21600,21600" o:gfxdata="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36Szo1QAAAAUBAAAP&#10;AAAAAAAAAAEAIAAAACIAAABkcnMvZG93bnJldi54bWxQSwECFAAUAAAACACHTuJAQQBdKhsCAAAQ&#10;BAAADgAAAAAAAAABACAAAAAkAQAAZHJzL2Uyb0RvYy54bWxQSwUGAAAAAAYABgBZAQAAsQUAAAAA&#10;">
                        <v:fill on="f" focussize="0,0"/>
                        <v:stroke color="#000000" joinstyle="round" endarrow="block"/>
                        <v:imagedata o:title=""/>
                        <o:lock v:ext="edit" aspectratio="f"/>
                      </v:line>
                      <v:line id="直接连接符 16" o:spid="_x0000_s1026" o:spt="20" style="position:absolute;left:1969135;top:371475;height:0;width:266700;" filled="f" stroked="t" coordsize="21600,21600" o:gfxdata="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WPJLDYAAAABQEAAA8AAAAAAAAAAQAgAAAA&#10;IgAAAGRycy9kb3ducmV2LnhtbFBLAQIUABQAAAAIAIdO4kCSyalPCwIAAPQDAAAOAAAAAAAAAAEA&#10;IAAAACcBAABkcnMvZTJvRG9jLnhtbFBLBQYAAAAABgAGAFkBAACkBQAAAAA=&#10;">
                        <v:fill on="f" focussize="0,0"/>
                        <v:stroke color="#000000" joinstyle="round" endarrow="block"/>
                        <v:imagedata o:title=""/>
                        <o:lock v:ext="edit" aspectratio="f"/>
                      </v:line>
                      <v:line id="直接连接符 17" o:spid="_x0000_s1026" o:spt="20" style="position:absolute;left:3336925;top:229870;flip:y;height:254000;width:0;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Skq9YAAAAFAQAADwAA&#10;AAAAAAABACAAAAAiAAAAZHJzL2Rvd25yZXYueG1sUEsBAhQAFAAAAAgAh07iQCT58jcYAgAACwQA&#10;AA4AAAAAAAAAAQAgAAAAJQEAAGRycy9lMm9Eb2MueG1sUEsFBgAAAAAGAAYAWQEAAK8FAAAAAA==&#10;">
                        <v:fill on="f" focussize="0,0"/>
                        <v:stroke color="#000000" joinstyle="round" dashstyle="1 1" endcap="square" endarrow="block"/>
                        <v:imagedata o:title=""/>
                        <o:lock v:ext="edit" aspectratio="f"/>
                      </v:line>
                      <v:line id="直接连接符 18" o:spid="_x0000_s1026" o:spt="20" style="position:absolute;left:3394710;top:793750;flip:y;height:254000;width:0;rotation:-5898240f;" filled="f" stroked="t" coordsize="21600,21600" o:gfxdata="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Skq9YAAAAFAQAADwAA&#10;AAAAAAABACAAAAAiAAAAZHJzL2Rvd25yZXYueG1sUEsBAhQAFAAAAAgAh07iQPXTVNMYAgAACwQA&#10;AA4AAAAAAAAAAQAgAAAAJQEAAGRycy9lMm9Eb2MueG1sUEsFBgAAAAAGAAYAWQEAAK8FAAAAAA==&#10;">
                        <v:fill on="f" focussize="0,0"/>
                        <v:stroke color="#000000" joinstyle="round" dashstyle="1 1" endcap="square" endarrow="block"/>
                        <v:imagedata o:title=""/>
                        <o:lock v:ext="edit" aspectratio="f"/>
                      </v:line>
                      <w10:wrap type="none"/>
                      <w10:anchorlock/>
                    </v:group>
                  </w:pict>
                </mc:Fallback>
              </mc:AlternateContent>
            </w:r>
          </w:p>
          <w:p w14:paraId="3AC94A64">
            <w:pPr>
              <w:keepNext w:val="0"/>
              <w:keepLines w:val="0"/>
              <w:pageBreakBefore w:val="0"/>
              <w:widowControl w:val="0"/>
              <w:kinsoku/>
              <w:wordWrap/>
              <w:overflowPunct/>
              <w:topLinePunct w:val="0"/>
              <w:autoSpaceDE/>
              <w:autoSpaceDN/>
              <w:bidi w:val="0"/>
              <w:spacing w:before="120" w:beforeLines="50" w:line="360" w:lineRule="auto"/>
              <w:jc w:val="center"/>
              <w:textAlignment w:val="auto"/>
              <w:rPr>
                <w:rFonts w:hint="default" w:ascii="Times New Roman" w:hAnsi="Times New Roman" w:eastAsia="宋体" w:cs="Times New Roman"/>
                <w:b/>
                <w:bCs w:val="0"/>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图2-4</w:t>
            </w:r>
            <w:r>
              <w:rPr>
                <w:rFonts w:hint="eastAsia" w:cs="Times New Roman"/>
                <w:b w:val="0"/>
                <w:bCs/>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现有50t/h</w:t>
            </w:r>
            <w:r>
              <w:rPr>
                <w:rFonts w:hint="eastAsia" w:cs="Times New Roman"/>
                <w:b w:val="0"/>
                <w:bCs/>
                <w:color w:val="000000" w:themeColor="text1"/>
                <w:sz w:val="21"/>
                <w:szCs w:val="21"/>
                <w:highlight w:val="none"/>
                <w:lang w:val="en-US" w:eastAsia="zh-CN"/>
                <w14:textFill>
                  <w14:solidFill>
                    <w14:schemeClr w14:val="tx1"/>
                  </w14:solidFill>
                </w14:textFill>
              </w:rPr>
              <w:t>燃气</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锅炉运行工艺流程及产污环节</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图</w:t>
            </w:r>
          </w:p>
          <w:p w14:paraId="59807CA7">
            <w:pPr>
              <w:keepNext w:val="0"/>
              <w:keepLines w:val="0"/>
              <w:pageBreakBefore w:val="0"/>
              <w:widowControl w:val="0"/>
              <w:kinsoku/>
              <w:wordWrap/>
              <w:overflowPunct/>
              <w:topLinePunct w:val="0"/>
              <w:autoSpaceDE/>
              <w:autoSpaceDN/>
              <w:bidi w:val="0"/>
              <w:adjustRightInd/>
              <w:snapToGrid/>
              <w:spacing w:before="120" w:beforeLines="50" w:line="360" w:lineRule="auto"/>
              <w:ind w:firstLine="482" w:firstLineChars="200"/>
              <w:jc w:val="both"/>
              <w:textAlignment w:val="auto"/>
              <w:rPr>
                <w:rFonts w:hint="default" w:ascii="Times New Roman" w:hAnsi="Times New Roman" w:eastAsia="宋体" w:cs="Times New Roman"/>
                <w:b/>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4"/>
                <w:highlight w:val="none"/>
                <w:lang w:val="en-US" w:eastAsia="zh-CN"/>
                <w14:textFill>
                  <w14:solidFill>
                    <w14:schemeClr w14:val="tx1"/>
                  </w14:solidFill>
                </w14:textFill>
              </w:rPr>
              <w:t>工艺简述：</w:t>
            </w:r>
          </w:p>
          <w:p w14:paraId="7FD4AC5A">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净水站净水：从</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新运河</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抽取的水，加入聚合氯化铝、次氯酸钠进行絮凝和消毒，加药系统(聚合氯化铝、次氯酸钠)采用自动投加方式，再经反应沉淀处理系统处理后，进入空气擦洗滤池，出水悬浮性固体含量小于</w:t>
            </w:r>
            <w:r>
              <w:rPr>
                <w:rFonts w:hint="eastAsia" w:cs="Times New Roman"/>
                <w:bCs/>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mg/</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l</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，水质可以满足电厂工业水、循环水补给水及消防用水水质的要求。</w:t>
            </w:r>
          </w:p>
          <w:p w14:paraId="2C65ECFD">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化水装置净水：净水站初步处理后的水到化水装置中经过</w:t>
            </w:r>
            <w:r>
              <w:rPr>
                <w:rFonts w:hint="eastAsia" w:cs="Times New Roman"/>
                <w:bCs/>
                <w:color w:val="000000" w:themeColor="text1"/>
                <w:szCs w:val="21"/>
                <w:highlight w:val="none"/>
                <w:lang w:val="en-US" w:eastAsia="zh-CN"/>
                <w14:textFill>
                  <w14:solidFill>
                    <w14:schemeClr w14:val="tx1"/>
                  </w14:solidFill>
                </w14:textFill>
              </w:rPr>
              <w:t>超滤膜</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、反渗透膜、</w:t>
            </w:r>
            <w:r>
              <w:rPr>
                <w:rFonts w:hint="eastAsia" w:cs="Times New Roman"/>
                <w:bCs/>
                <w:color w:val="000000" w:themeColor="text1"/>
                <w:szCs w:val="21"/>
                <w:highlight w:val="none"/>
                <w:lang w:val="en-US" w:eastAsia="zh-CN"/>
                <w14:textFill>
                  <w14:solidFill>
                    <w14:schemeClr w14:val="tx1"/>
                  </w14:solidFill>
                </w14:textFill>
              </w:rPr>
              <w:t>脱碳器</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、离子交换器进行除盐，使之达到锅炉用水标准。</w:t>
            </w:r>
          </w:p>
          <w:p w14:paraId="13754FCF">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燃气锅炉燃烧：</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化水装置</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净水进入锅炉，通过天然气低氮燃烧得到蒸汽 (1.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0</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MPa，3</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0°C)。</w:t>
            </w:r>
          </w:p>
          <w:p w14:paraId="2E6B2D7E">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供热：将产生的蒸汽通过管道提供给企业。</w:t>
            </w:r>
          </w:p>
          <w:p w14:paraId="046B931C">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000000" w:themeColor="text1"/>
                <w:sz w:val="24"/>
                <w:szCs w:val="44"/>
                <w:highlight w:val="none"/>
                <w14:textFill>
                  <w14:solidFill>
                    <w14:schemeClr w14:val="tx1"/>
                  </w14:solidFill>
                </w14:textFill>
              </w:rPr>
            </w:pPr>
            <w:r>
              <w:rPr>
                <w:rFonts w:hint="default" w:ascii="Times New Roman" w:hAnsi="Times New Roman" w:eastAsia="宋体" w:cs="Times New Roman"/>
                <w:b/>
                <w:bCs/>
                <w:color w:val="000000" w:themeColor="text1"/>
                <w:sz w:val="24"/>
                <w:szCs w:val="44"/>
                <w:highlight w:val="none"/>
                <w14:textFill>
                  <w14:solidFill>
                    <w14:schemeClr w14:val="tx1"/>
                  </w14:solidFill>
                </w14:textFill>
              </w:rPr>
              <w:t>（三）现有项目污染物排放概况</w:t>
            </w:r>
          </w:p>
          <w:p w14:paraId="64CA9FA9">
            <w:pPr>
              <w:numPr>
                <w:ilvl w:val="0"/>
                <w:numId w:val="0"/>
              </w:numPr>
              <w:adjustRightInd w:val="0"/>
              <w:snapToGrid w:val="0"/>
              <w:spacing w:line="440" w:lineRule="exact"/>
              <w:ind w:firstLine="422" w:firstLineChars="200"/>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t>①、废气</w:t>
            </w:r>
          </w:p>
          <w:p w14:paraId="4665AE77">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现有项目废气主要来源于两套热电联产机组天然气燃烧废气、1台50t/h备用燃气锅炉燃烧废气。主要污染因子为颗粒物、二氧化硫和氮氧化物。</w:t>
            </w:r>
          </w:p>
          <w:p w14:paraId="2562FF73">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其中两套热电联产机组安装低氮燃烧器，燃烧废气分别经60米高</w:t>
            </w:r>
            <w:r>
              <w:rPr>
                <w:rFonts w:hint="eastAsia" w:cs="Times New Roman"/>
                <w:bCs/>
                <w:color w:val="000000" w:themeColor="text1"/>
                <w:szCs w:val="21"/>
                <w:highlight w:val="none"/>
                <w:lang w:val="en-US" w:eastAsia="zh-CN"/>
                <w14:textFill>
                  <w14:solidFill>
                    <w14:schemeClr w14:val="tx1"/>
                  </w14:solidFill>
                </w14:textFill>
              </w:rPr>
              <w:t>DA001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DA002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排气筒达标排放，并配套安装CEMS烟气连续监测系统。1台50t/h备用燃气锅炉安装低氮燃烧器，燃烧废气经25米高</w:t>
            </w:r>
            <w:r>
              <w:rPr>
                <w:rFonts w:hint="eastAsia" w:cs="Times New Roman"/>
                <w:bCs/>
                <w:color w:val="000000" w:themeColor="text1"/>
                <w:szCs w:val="21"/>
                <w:highlight w:val="none"/>
                <w:lang w:val="en-US" w:eastAsia="zh-CN"/>
                <w14:textFill>
                  <w14:solidFill>
                    <w14:schemeClr w14:val="tx1"/>
                  </w14:solidFill>
                </w14:textFill>
              </w:rPr>
              <w:t>DA003</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排气筒达标排放</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配套安装CEMS烟气连续监测系统。</w:t>
            </w:r>
          </w:p>
          <w:p w14:paraId="04D3379E">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根据</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江苏华电吴江</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热电2024年08月20日、2024年08月30日</w:t>
            </w:r>
            <w:r>
              <w:rPr>
                <w:rFonts w:hint="eastAsia" w:cs="Times New Roman"/>
                <w:bCs/>
                <w:color w:val="000000" w:themeColor="text1"/>
                <w:szCs w:val="21"/>
                <w:highlight w:val="none"/>
                <w:lang w:val="en-US" w:eastAsia="zh-CN"/>
                <w14:textFill>
                  <w14:solidFill>
                    <w14:schemeClr w14:val="tx1"/>
                  </w14:solidFill>
                </w14:textFill>
              </w:rPr>
              <w:t>、2024年03月19日-21日</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的自行监测</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报告(</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监测单位：苏州华瑞环境检测有限公司，报告编号：HR2408100、HR2408149</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HR24</w:t>
            </w:r>
            <w:r>
              <w:rPr>
                <w:rFonts w:hint="eastAsia" w:cs="Times New Roman"/>
                <w:bCs/>
                <w:color w:val="000000" w:themeColor="text1"/>
                <w:szCs w:val="21"/>
                <w:highlight w:val="none"/>
                <w:lang w:val="en-US" w:eastAsia="zh-CN"/>
                <w14:textFill>
                  <w14:solidFill>
                    <w14:schemeClr w14:val="tx1"/>
                  </w14:solidFill>
                </w14:textFill>
              </w:rPr>
              <w:t>03091</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，废气排放情况见表2-</w:t>
            </w:r>
            <w:r>
              <w:rPr>
                <w:rFonts w:hint="eastAsia" w:cs="Times New Roman"/>
                <w:bCs/>
                <w:color w:val="000000" w:themeColor="text1"/>
                <w:szCs w:val="21"/>
                <w:highlight w:val="none"/>
                <w:lang w:val="en-US" w:eastAsia="zh-CN"/>
                <w14:textFill>
                  <w14:solidFill>
                    <w14:schemeClr w14:val="tx1"/>
                  </w14:solidFill>
                </w14:textFill>
              </w:rPr>
              <w:t>11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323AC612">
            <w:pPr>
              <w:numPr>
                <w:ilvl w:val="0"/>
                <w:numId w:val="0"/>
              </w:numPr>
              <w:adjustRightInd w:val="0"/>
              <w:snapToGrid w:val="0"/>
              <w:spacing w:line="440" w:lineRule="exact"/>
              <w:ind w:firstLine="420" w:firstLineChars="200"/>
              <w:jc w:val="cente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表2-</w:t>
            </w:r>
            <w:r>
              <w:rPr>
                <w:rFonts w:hint="eastAsia" w:cs="Times New Roman"/>
                <w:bCs/>
                <w:color w:val="000000" w:themeColor="text1"/>
                <w:szCs w:val="21"/>
                <w:highlight w:val="none"/>
                <w:lang w:val="en-US" w:eastAsia="zh-CN"/>
                <w14:textFill>
                  <w14:solidFill>
                    <w14:schemeClr w14:val="tx1"/>
                  </w14:solidFill>
                </w14:textFill>
              </w:rPr>
              <w:t>11</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 xml:space="preserve">  现有项目有组织废气监测数据</w:t>
            </w:r>
          </w:p>
          <w:tbl>
            <w:tblPr>
              <w:tblStyle w:val="36"/>
              <w:tblW w:w="841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1200"/>
              <w:gridCol w:w="1133"/>
              <w:gridCol w:w="1264"/>
              <w:gridCol w:w="1079"/>
              <w:gridCol w:w="1280"/>
              <w:gridCol w:w="1113"/>
            </w:tblGrid>
            <w:tr w14:paraId="240A9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797" w:type="pct"/>
                  <w:tcBorders>
                    <w:top w:val="single" w:color="auto" w:sz="12" w:space="0"/>
                    <w:left w:val="single" w:color="auto" w:sz="12" w:space="0"/>
                    <w:bottom w:val="single" w:color="auto" w:sz="2" w:space="0"/>
                    <w:right w:val="single" w:color="auto" w:sz="4" w:space="0"/>
                  </w:tcBorders>
                  <w:vAlign w:val="center"/>
                </w:tcPr>
                <w:p w14:paraId="5F0FA29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排气筒编号</w:t>
                  </w:r>
                </w:p>
              </w:tc>
              <w:tc>
                <w:tcPr>
                  <w:tcW w:w="713" w:type="pct"/>
                  <w:tcBorders>
                    <w:top w:val="single" w:color="auto" w:sz="12" w:space="0"/>
                    <w:left w:val="single" w:color="auto" w:sz="4" w:space="0"/>
                    <w:bottom w:val="double" w:color="auto" w:sz="2" w:space="0"/>
                    <w:right w:val="single" w:color="auto" w:sz="4" w:space="0"/>
                  </w:tcBorders>
                  <w:vAlign w:val="center"/>
                </w:tcPr>
                <w:p w14:paraId="7CC3F76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污染指标</w:t>
                  </w:r>
                </w:p>
              </w:tc>
              <w:tc>
                <w:tcPr>
                  <w:tcW w:w="673" w:type="pct"/>
                  <w:tcBorders>
                    <w:top w:val="single" w:color="auto" w:sz="12" w:space="0"/>
                    <w:left w:val="single" w:color="auto" w:sz="4" w:space="0"/>
                    <w:bottom w:val="double" w:color="auto" w:sz="2" w:space="0"/>
                    <w:right w:val="single" w:color="auto" w:sz="4" w:space="0"/>
                  </w:tcBorders>
                  <w:vAlign w:val="center"/>
                </w:tcPr>
                <w:p w14:paraId="4A088490">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实测排放浓度（均值）</w:t>
                  </w:r>
                </w:p>
                <w:p w14:paraId="7CC31D08">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mg/m3</w:t>
                  </w:r>
                </w:p>
              </w:tc>
              <w:tc>
                <w:tcPr>
                  <w:tcW w:w="751" w:type="pct"/>
                  <w:tcBorders>
                    <w:top w:val="single" w:color="auto" w:sz="12" w:space="0"/>
                    <w:left w:val="single" w:color="auto" w:sz="4" w:space="0"/>
                    <w:bottom w:val="double" w:color="auto" w:sz="2" w:space="0"/>
                    <w:right w:val="single" w:color="auto" w:sz="4" w:space="0"/>
                  </w:tcBorders>
                  <w:vAlign w:val="center"/>
                </w:tcPr>
                <w:p w14:paraId="4617E61D">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基准含氧量</w:t>
                  </w:r>
                </w:p>
                <w:p w14:paraId="7F7B764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p>
              </w:tc>
              <w:tc>
                <w:tcPr>
                  <w:tcW w:w="641" w:type="pct"/>
                  <w:tcBorders>
                    <w:top w:val="single" w:color="auto" w:sz="12" w:space="0"/>
                    <w:left w:val="single" w:color="auto" w:sz="4" w:space="0"/>
                    <w:bottom w:val="double" w:color="auto" w:sz="2" w:space="0"/>
                    <w:right w:val="single" w:color="auto" w:sz="4" w:space="0"/>
                  </w:tcBorders>
                  <w:vAlign w:val="center"/>
                </w:tcPr>
                <w:p w14:paraId="5338ECE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标准限值mg/m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p>
              </w:tc>
              <w:tc>
                <w:tcPr>
                  <w:tcW w:w="760" w:type="pct"/>
                  <w:tcBorders>
                    <w:top w:val="single" w:color="auto" w:sz="12" w:space="0"/>
                    <w:left w:val="single" w:color="auto" w:sz="4" w:space="0"/>
                    <w:bottom w:val="double" w:color="auto" w:sz="2" w:space="0"/>
                    <w:right w:val="single" w:color="auto" w:sz="4" w:space="0"/>
                  </w:tcBorders>
                  <w:vAlign w:val="center"/>
                </w:tcPr>
                <w:p w14:paraId="0654DC0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排放速率kg/h</w:t>
                  </w:r>
                </w:p>
              </w:tc>
              <w:tc>
                <w:tcPr>
                  <w:tcW w:w="661" w:type="pct"/>
                  <w:tcBorders>
                    <w:top w:val="single" w:color="auto" w:sz="12" w:space="0"/>
                    <w:left w:val="single" w:color="auto" w:sz="4" w:space="0"/>
                    <w:bottom w:val="double" w:color="auto" w:sz="2" w:space="0"/>
                    <w:right w:val="single" w:color="auto" w:sz="12" w:space="0"/>
                  </w:tcBorders>
                  <w:vAlign w:val="center"/>
                </w:tcPr>
                <w:p w14:paraId="515F684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达标情况</w:t>
                  </w:r>
                </w:p>
              </w:tc>
            </w:tr>
            <w:tr w14:paraId="456248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restart"/>
                  <w:tcBorders>
                    <w:top w:val="single" w:color="auto" w:sz="2" w:space="0"/>
                    <w:left w:val="single" w:color="auto" w:sz="12" w:space="0"/>
                    <w:bottom w:val="single" w:color="auto" w:sz="2" w:space="0"/>
                    <w:right w:val="single" w:color="auto" w:sz="4" w:space="0"/>
                  </w:tcBorders>
                  <w:vAlign w:val="center"/>
                </w:tcPr>
                <w:p w14:paraId="51FF08B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lang w:val="en-US" w:eastAsia="zh-CN"/>
                    </w:rPr>
                    <w:t>2024.</w:t>
                  </w:r>
                  <w:r>
                    <w:rPr>
                      <w:rFonts w:hint="eastAsia" w:cs="Times New Roman"/>
                      <w:color w:val="000000" w:themeColor="text1"/>
                      <w:sz w:val="18"/>
                      <w:szCs w:val="18"/>
                      <w:highlight w:val="none"/>
                      <w:lang w:val="en-US" w:eastAsia="zh-CN"/>
                      <w14:textFill>
                        <w14:solidFill>
                          <w14:schemeClr w14:val="tx1"/>
                        </w14:solidFill>
                      </w14:textFill>
                    </w:rPr>
                    <w:t>DA001</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p>
                <w:p w14:paraId="022A928C">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1#热电联产机组</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p>
                <w:p w14:paraId="52437437">
                  <w:pPr>
                    <w:jc w:val="center"/>
                    <w:rPr>
                      <w:rFonts w:hint="default"/>
                      <w:lang w:val="en-US" w:eastAsia="zh-CN"/>
                    </w:rPr>
                  </w:pPr>
                  <w:r>
                    <w:rPr>
                      <w:rFonts w:hint="eastAsia"/>
                      <w:lang w:val="en-US" w:eastAsia="zh-CN"/>
                    </w:rPr>
                    <w:t>2024.08.20</w:t>
                  </w:r>
                </w:p>
              </w:tc>
              <w:tc>
                <w:tcPr>
                  <w:tcW w:w="713" w:type="pct"/>
                  <w:tcBorders>
                    <w:top w:val="single" w:color="auto" w:sz="4" w:space="0"/>
                    <w:left w:val="single" w:color="auto" w:sz="4" w:space="0"/>
                    <w:bottom w:val="single" w:color="auto" w:sz="4" w:space="0"/>
                    <w:right w:val="single" w:color="auto" w:sz="4" w:space="0"/>
                  </w:tcBorders>
                  <w:vAlign w:val="center"/>
                </w:tcPr>
                <w:p w14:paraId="1CBBFAC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673" w:type="pct"/>
                  <w:tcBorders>
                    <w:top w:val="single" w:color="auto" w:sz="4" w:space="0"/>
                    <w:left w:val="single" w:color="auto" w:sz="4" w:space="0"/>
                    <w:bottom w:val="single" w:color="auto" w:sz="4" w:space="0"/>
                    <w:right w:val="single" w:color="auto" w:sz="4" w:space="0"/>
                  </w:tcBorders>
                  <w:vAlign w:val="center"/>
                </w:tcPr>
                <w:p w14:paraId="1C1EF62F">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1.1</w:t>
                  </w:r>
                </w:p>
              </w:tc>
              <w:tc>
                <w:tcPr>
                  <w:tcW w:w="751" w:type="pct"/>
                  <w:tcBorders>
                    <w:top w:val="single" w:color="auto" w:sz="4" w:space="0"/>
                    <w:left w:val="single" w:color="auto" w:sz="4" w:space="0"/>
                    <w:bottom w:val="single" w:color="auto" w:sz="4" w:space="0"/>
                    <w:right w:val="single" w:color="auto" w:sz="4" w:space="0"/>
                  </w:tcBorders>
                  <w:vAlign w:val="center"/>
                </w:tcPr>
                <w:p w14:paraId="69767213">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ND</w:t>
                  </w:r>
                </w:p>
              </w:tc>
              <w:tc>
                <w:tcPr>
                  <w:tcW w:w="641" w:type="pct"/>
                  <w:tcBorders>
                    <w:top w:val="single" w:color="auto" w:sz="4" w:space="0"/>
                    <w:left w:val="single" w:color="auto" w:sz="4" w:space="0"/>
                    <w:bottom w:val="single" w:color="auto" w:sz="4" w:space="0"/>
                    <w:right w:val="single" w:color="auto" w:sz="4" w:space="0"/>
                  </w:tcBorders>
                  <w:vAlign w:val="center"/>
                </w:tcPr>
                <w:p w14:paraId="5F3F231C">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w:t>
                  </w:r>
                </w:p>
              </w:tc>
              <w:tc>
                <w:tcPr>
                  <w:tcW w:w="760" w:type="pct"/>
                  <w:tcBorders>
                    <w:top w:val="single" w:color="auto" w:sz="4" w:space="0"/>
                    <w:left w:val="single" w:color="auto" w:sz="4" w:space="0"/>
                    <w:bottom w:val="single" w:color="auto" w:sz="4" w:space="0"/>
                    <w:right w:val="single" w:color="auto" w:sz="4" w:space="0"/>
                  </w:tcBorders>
                  <w:vAlign w:val="center"/>
                </w:tcPr>
                <w:p w14:paraId="26A00DA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1.03</w:t>
                  </w:r>
                </w:p>
              </w:tc>
              <w:tc>
                <w:tcPr>
                  <w:tcW w:w="661" w:type="pct"/>
                  <w:tcBorders>
                    <w:top w:val="single" w:color="auto" w:sz="4" w:space="0"/>
                    <w:left w:val="single" w:color="auto" w:sz="4" w:space="0"/>
                    <w:bottom w:val="single" w:color="auto" w:sz="4" w:space="0"/>
                    <w:right w:val="single" w:color="auto" w:sz="12" w:space="0"/>
                  </w:tcBorders>
                  <w:vAlign w:val="center"/>
                </w:tcPr>
                <w:p w14:paraId="67E91FC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1F78B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40DDE04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vAlign w:val="center"/>
                </w:tcPr>
                <w:p w14:paraId="0E38B1B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673" w:type="pct"/>
                  <w:tcBorders>
                    <w:top w:val="single" w:color="auto" w:sz="4" w:space="0"/>
                    <w:left w:val="single" w:color="auto" w:sz="4" w:space="0"/>
                    <w:bottom w:val="single" w:color="auto" w:sz="4" w:space="0"/>
                    <w:right w:val="single" w:color="auto" w:sz="4" w:space="0"/>
                  </w:tcBorders>
                  <w:vAlign w:val="center"/>
                </w:tcPr>
                <w:p w14:paraId="4708BC8D">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ND</w:t>
                  </w:r>
                </w:p>
              </w:tc>
              <w:tc>
                <w:tcPr>
                  <w:tcW w:w="751" w:type="pct"/>
                  <w:tcBorders>
                    <w:top w:val="single" w:color="auto" w:sz="4" w:space="0"/>
                    <w:left w:val="single" w:color="auto" w:sz="4" w:space="0"/>
                    <w:bottom w:val="single" w:color="auto" w:sz="4" w:space="0"/>
                    <w:right w:val="single" w:color="auto" w:sz="4" w:space="0"/>
                  </w:tcBorders>
                  <w:vAlign w:val="center"/>
                </w:tcPr>
                <w:p w14:paraId="5727EB5F">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41" w:type="pct"/>
                  <w:tcBorders>
                    <w:top w:val="single" w:color="auto" w:sz="4" w:space="0"/>
                    <w:left w:val="single" w:color="auto" w:sz="4" w:space="0"/>
                    <w:bottom w:val="single" w:color="auto" w:sz="4" w:space="0"/>
                    <w:right w:val="single" w:color="auto" w:sz="4" w:space="0"/>
                  </w:tcBorders>
                  <w:vAlign w:val="center"/>
                </w:tcPr>
                <w:p w14:paraId="64673B45">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35</w:t>
                  </w:r>
                </w:p>
              </w:tc>
              <w:tc>
                <w:tcPr>
                  <w:tcW w:w="760" w:type="pct"/>
                  <w:tcBorders>
                    <w:top w:val="single" w:color="auto" w:sz="4" w:space="0"/>
                    <w:left w:val="single" w:color="auto" w:sz="4" w:space="0"/>
                    <w:bottom w:val="single" w:color="auto" w:sz="4" w:space="0"/>
                    <w:right w:val="single" w:color="auto" w:sz="4" w:space="0"/>
                  </w:tcBorders>
                  <w:vAlign w:val="center"/>
                </w:tcPr>
                <w:p w14:paraId="648F219A">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193D85B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39C7C7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07C263A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shd w:val="clear" w:color="auto" w:fill="auto"/>
                  <w:vAlign w:val="center"/>
                </w:tcPr>
                <w:p w14:paraId="270D7133">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14:paraId="11684B3D">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13</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14:paraId="197C6B2C">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11</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6514E49F">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30</w:t>
                  </w:r>
                </w:p>
              </w:tc>
              <w:tc>
                <w:tcPr>
                  <w:tcW w:w="760" w:type="pct"/>
                  <w:tcBorders>
                    <w:top w:val="single" w:color="auto" w:sz="4" w:space="0"/>
                    <w:left w:val="single" w:color="auto" w:sz="4" w:space="0"/>
                    <w:bottom w:val="single" w:color="auto" w:sz="4" w:space="0"/>
                    <w:right w:val="single" w:color="auto" w:sz="4" w:space="0"/>
                  </w:tcBorders>
                  <w:shd w:val="clear" w:color="auto" w:fill="auto"/>
                  <w:vAlign w:val="center"/>
                </w:tcPr>
                <w:p w14:paraId="2958D526">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11.7</w:t>
                  </w:r>
                </w:p>
              </w:tc>
              <w:tc>
                <w:tcPr>
                  <w:tcW w:w="661" w:type="pct"/>
                  <w:tcBorders>
                    <w:top w:val="single" w:color="auto" w:sz="4" w:space="0"/>
                    <w:left w:val="single" w:color="auto" w:sz="4" w:space="0"/>
                    <w:bottom w:val="single" w:color="auto" w:sz="4" w:space="0"/>
                    <w:right w:val="single" w:color="auto" w:sz="12" w:space="0"/>
                  </w:tcBorders>
                  <w:shd w:val="clear" w:color="auto" w:fill="auto"/>
                  <w:vAlign w:val="center"/>
                </w:tcPr>
                <w:p w14:paraId="19FEA40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139CA6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5F8DAEE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vAlign w:val="center"/>
                </w:tcPr>
                <w:p w14:paraId="124D5B8C">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烟气黑度</w:t>
                  </w:r>
                </w:p>
                <w:p w14:paraId="7D7FB116">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林格曼黑度）</w:t>
                  </w:r>
                </w:p>
              </w:tc>
              <w:tc>
                <w:tcPr>
                  <w:tcW w:w="1425" w:type="pct"/>
                  <w:gridSpan w:val="2"/>
                  <w:tcBorders>
                    <w:top w:val="single" w:color="auto" w:sz="4" w:space="0"/>
                    <w:left w:val="single" w:color="auto" w:sz="4" w:space="0"/>
                    <w:bottom w:val="single" w:color="auto" w:sz="4" w:space="0"/>
                    <w:right w:val="single" w:color="auto" w:sz="4" w:space="0"/>
                  </w:tcBorders>
                  <w:vAlign w:val="center"/>
                </w:tcPr>
                <w:p w14:paraId="69880815">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&lt;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641" w:type="pct"/>
                  <w:tcBorders>
                    <w:top w:val="single" w:color="auto" w:sz="4" w:space="0"/>
                    <w:left w:val="single" w:color="auto" w:sz="4" w:space="0"/>
                    <w:bottom w:val="single" w:color="auto" w:sz="4" w:space="0"/>
                    <w:right w:val="single" w:color="auto" w:sz="4" w:space="0"/>
                  </w:tcBorders>
                  <w:vAlign w:val="center"/>
                </w:tcPr>
                <w:p w14:paraId="733CC0A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760" w:type="pct"/>
                  <w:tcBorders>
                    <w:top w:val="single" w:color="auto" w:sz="4" w:space="0"/>
                    <w:left w:val="single" w:color="auto" w:sz="4" w:space="0"/>
                    <w:bottom w:val="single" w:color="auto" w:sz="4" w:space="0"/>
                    <w:right w:val="single" w:color="auto" w:sz="4" w:space="0"/>
                  </w:tcBorders>
                  <w:vAlign w:val="center"/>
                </w:tcPr>
                <w:p w14:paraId="26AF39E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761E522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达标</w:t>
                  </w:r>
                </w:p>
              </w:tc>
            </w:tr>
            <w:tr w14:paraId="061D8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797" w:type="pct"/>
                  <w:vMerge w:val="restart"/>
                  <w:tcBorders>
                    <w:top w:val="single" w:color="auto" w:sz="2" w:space="0"/>
                    <w:left w:val="single" w:color="auto" w:sz="12" w:space="0"/>
                    <w:bottom w:val="single" w:color="auto" w:sz="2" w:space="0"/>
                    <w:right w:val="single" w:color="auto" w:sz="4" w:space="0"/>
                  </w:tcBorders>
                  <w:vAlign w:val="center"/>
                </w:tcPr>
                <w:p w14:paraId="2977618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DA002</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p>
                <w:p w14:paraId="53D2B710">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2#热电联产机组</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p>
                <w:p w14:paraId="729650E6">
                  <w:pPr>
                    <w:jc w:val="center"/>
                    <w:rPr>
                      <w:rFonts w:hint="default"/>
                      <w:lang w:val="en-US"/>
                    </w:rPr>
                  </w:pPr>
                  <w:r>
                    <w:rPr>
                      <w:rFonts w:hint="eastAsia"/>
                      <w:lang w:val="en-US" w:eastAsia="zh-CN"/>
                    </w:rPr>
                    <w:t>2024.08.30</w:t>
                  </w:r>
                </w:p>
              </w:tc>
              <w:tc>
                <w:tcPr>
                  <w:tcW w:w="713" w:type="pct"/>
                  <w:tcBorders>
                    <w:top w:val="single" w:color="auto" w:sz="4" w:space="0"/>
                    <w:left w:val="single" w:color="auto" w:sz="4" w:space="0"/>
                    <w:bottom w:val="single" w:color="auto" w:sz="4" w:space="0"/>
                    <w:right w:val="single" w:color="auto" w:sz="4" w:space="0"/>
                  </w:tcBorders>
                  <w:vAlign w:val="center"/>
                </w:tcPr>
                <w:p w14:paraId="5E8EF7F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673" w:type="pct"/>
                  <w:tcBorders>
                    <w:top w:val="single" w:color="auto" w:sz="4" w:space="0"/>
                    <w:left w:val="single" w:color="auto" w:sz="4" w:space="0"/>
                    <w:bottom w:val="single" w:color="auto" w:sz="4" w:space="0"/>
                    <w:right w:val="single" w:color="auto" w:sz="4" w:space="0"/>
                  </w:tcBorders>
                  <w:vAlign w:val="center"/>
                </w:tcPr>
                <w:p w14:paraId="2DA421B1">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1.2</w:t>
                  </w:r>
                </w:p>
              </w:tc>
              <w:tc>
                <w:tcPr>
                  <w:tcW w:w="751" w:type="pct"/>
                  <w:tcBorders>
                    <w:top w:val="single" w:color="auto" w:sz="4" w:space="0"/>
                    <w:left w:val="single" w:color="auto" w:sz="4" w:space="0"/>
                    <w:bottom w:val="single" w:color="auto" w:sz="4" w:space="0"/>
                    <w:right w:val="single" w:color="auto" w:sz="4" w:space="0"/>
                  </w:tcBorders>
                  <w:vAlign w:val="center"/>
                </w:tcPr>
                <w:p w14:paraId="5971086D">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1.1</w:t>
                  </w:r>
                </w:p>
              </w:tc>
              <w:tc>
                <w:tcPr>
                  <w:tcW w:w="641" w:type="pct"/>
                  <w:tcBorders>
                    <w:top w:val="single" w:color="auto" w:sz="4" w:space="0"/>
                    <w:left w:val="single" w:color="auto" w:sz="4" w:space="0"/>
                    <w:bottom w:val="single" w:color="auto" w:sz="4" w:space="0"/>
                    <w:right w:val="single" w:color="auto" w:sz="4" w:space="0"/>
                  </w:tcBorders>
                  <w:vAlign w:val="center"/>
                </w:tcPr>
                <w:p w14:paraId="52EF5BC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w:t>
                  </w:r>
                </w:p>
              </w:tc>
              <w:tc>
                <w:tcPr>
                  <w:tcW w:w="760" w:type="pct"/>
                  <w:tcBorders>
                    <w:top w:val="single" w:color="auto" w:sz="4" w:space="0"/>
                    <w:left w:val="single" w:color="auto" w:sz="4" w:space="0"/>
                    <w:bottom w:val="single" w:color="auto" w:sz="4" w:space="0"/>
                    <w:right w:val="single" w:color="auto" w:sz="4" w:space="0"/>
                  </w:tcBorders>
                  <w:vAlign w:val="center"/>
                </w:tcPr>
                <w:p w14:paraId="0683A71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1.19</w:t>
                  </w:r>
                </w:p>
              </w:tc>
              <w:tc>
                <w:tcPr>
                  <w:tcW w:w="661" w:type="pct"/>
                  <w:tcBorders>
                    <w:top w:val="single" w:color="auto" w:sz="4" w:space="0"/>
                    <w:left w:val="single" w:color="auto" w:sz="4" w:space="0"/>
                    <w:bottom w:val="single" w:color="auto" w:sz="4" w:space="0"/>
                    <w:right w:val="single" w:color="auto" w:sz="12" w:space="0"/>
                  </w:tcBorders>
                  <w:vAlign w:val="center"/>
                </w:tcPr>
                <w:p w14:paraId="309B54B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1972D1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60D69E98">
                  <w:pPr>
                    <w:pStyle w:val="2"/>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vAlign w:val="center"/>
                </w:tcPr>
                <w:p w14:paraId="300C320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673" w:type="pct"/>
                  <w:tcBorders>
                    <w:top w:val="single" w:color="auto" w:sz="4" w:space="0"/>
                    <w:left w:val="single" w:color="auto" w:sz="4" w:space="0"/>
                    <w:bottom w:val="single" w:color="auto" w:sz="4" w:space="0"/>
                    <w:right w:val="single" w:color="auto" w:sz="4" w:space="0"/>
                  </w:tcBorders>
                  <w:vAlign w:val="center"/>
                </w:tcPr>
                <w:p w14:paraId="23A14EE9">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ND</w:t>
                  </w:r>
                </w:p>
              </w:tc>
              <w:tc>
                <w:tcPr>
                  <w:tcW w:w="751" w:type="pct"/>
                  <w:tcBorders>
                    <w:top w:val="single" w:color="auto" w:sz="4" w:space="0"/>
                    <w:left w:val="single" w:color="auto" w:sz="4" w:space="0"/>
                    <w:bottom w:val="single" w:color="auto" w:sz="4" w:space="0"/>
                    <w:right w:val="single" w:color="auto" w:sz="4" w:space="0"/>
                  </w:tcBorders>
                  <w:vAlign w:val="center"/>
                </w:tcPr>
                <w:p w14:paraId="53C7C83C">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41" w:type="pct"/>
                  <w:tcBorders>
                    <w:top w:val="single" w:color="auto" w:sz="4" w:space="0"/>
                    <w:left w:val="single" w:color="auto" w:sz="4" w:space="0"/>
                    <w:bottom w:val="single" w:color="auto" w:sz="4" w:space="0"/>
                    <w:right w:val="single" w:color="auto" w:sz="4" w:space="0"/>
                  </w:tcBorders>
                  <w:vAlign w:val="center"/>
                </w:tcPr>
                <w:p w14:paraId="151849A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35</w:t>
                  </w:r>
                </w:p>
              </w:tc>
              <w:tc>
                <w:tcPr>
                  <w:tcW w:w="760" w:type="pct"/>
                  <w:tcBorders>
                    <w:top w:val="single" w:color="auto" w:sz="4" w:space="0"/>
                    <w:left w:val="single" w:color="auto" w:sz="4" w:space="0"/>
                    <w:bottom w:val="single" w:color="auto" w:sz="4" w:space="0"/>
                    <w:right w:val="single" w:color="auto" w:sz="4" w:space="0"/>
                  </w:tcBorders>
                  <w:vAlign w:val="center"/>
                </w:tcPr>
                <w:p w14:paraId="33BB8CDB">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5211631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70D005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0C1C2D8A">
                  <w:pPr>
                    <w:pStyle w:val="2"/>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shd w:val="clear" w:color="auto" w:fill="auto"/>
                  <w:vAlign w:val="center"/>
                </w:tcPr>
                <w:p w14:paraId="72D9564E">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14:paraId="620EDB3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15</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14:paraId="1EDA93A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15</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191740C7">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30</w:t>
                  </w:r>
                </w:p>
              </w:tc>
              <w:tc>
                <w:tcPr>
                  <w:tcW w:w="760" w:type="pct"/>
                  <w:tcBorders>
                    <w:top w:val="single" w:color="auto" w:sz="4" w:space="0"/>
                    <w:left w:val="single" w:color="auto" w:sz="4" w:space="0"/>
                    <w:bottom w:val="single" w:color="auto" w:sz="4" w:space="0"/>
                    <w:right w:val="single" w:color="auto" w:sz="4" w:space="0"/>
                  </w:tcBorders>
                  <w:shd w:val="clear" w:color="auto" w:fill="auto"/>
                  <w:vAlign w:val="center"/>
                </w:tcPr>
                <w:p w14:paraId="5F3DE6E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15.3</w:t>
                  </w:r>
                </w:p>
              </w:tc>
              <w:tc>
                <w:tcPr>
                  <w:tcW w:w="661" w:type="pct"/>
                  <w:tcBorders>
                    <w:top w:val="single" w:color="auto" w:sz="4" w:space="0"/>
                    <w:left w:val="single" w:color="auto" w:sz="4" w:space="0"/>
                    <w:bottom w:val="single" w:color="auto" w:sz="4" w:space="0"/>
                    <w:right w:val="single" w:color="auto" w:sz="12" w:space="0"/>
                  </w:tcBorders>
                  <w:shd w:val="clear" w:color="auto" w:fill="auto"/>
                  <w:vAlign w:val="center"/>
                </w:tcPr>
                <w:p w14:paraId="1FCD56E9">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6012F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1AF7DB42">
                  <w:pPr>
                    <w:pStyle w:val="2"/>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vAlign w:val="center"/>
                </w:tcPr>
                <w:p w14:paraId="49912E26">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烟气黑度</w:t>
                  </w:r>
                </w:p>
                <w:p w14:paraId="1A35C079">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林格曼黑度）</w:t>
                  </w:r>
                </w:p>
              </w:tc>
              <w:tc>
                <w:tcPr>
                  <w:tcW w:w="1425" w:type="pct"/>
                  <w:gridSpan w:val="2"/>
                  <w:tcBorders>
                    <w:top w:val="single" w:color="auto" w:sz="4" w:space="0"/>
                    <w:left w:val="single" w:color="auto" w:sz="4" w:space="0"/>
                    <w:bottom w:val="single" w:color="auto" w:sz="4" w:space="0"/>
                    <w:right w:val="single" w:color="auto" w:sz="4" w:space="0"/>
                  </w:tcBorders>
                  <w:vAlign w:val="center"/>
                </w:tcPr>
                <w:p w14:paraId="0DF32C7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&lt;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641" w:type="pct"/>
                  <w:tcBorders>
                    <w:top w:val="single" w:color="auto" w:sz="4" w:space="0"/>
                    <w:left w:val="single" w:color="auto" w:sz="4" w:space="0"/>
                    <w:bottom w:val="single" w:color="auto" w:sz="4" w:space="0"/>
                    <w:right w:val="single" w:color="auto" w:sz="4" w:space="0"/>
                  </w:tcBorders>
                  <w:vAlign w:val="center"/>
                </w:tcPr>
                <w:p w14:paraId="6ABCAEB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760" w:type="pct"/>
                  <w:tcBorders>
                    <w:top w:val="single" w:color="auto" w:sz="4" w:space="0"/>
                    <w:left w:val="single" w:color="auto" w:sz="4" w:space="0"/>
                    <w:bottom w:val="single" w:color="auto" w:sz="4" w:space="0"/>
                    <w:right w:val="single" w:color="auto" w:sz="4" w:space="0"/>
                  </w:tcBorders>
                  <w:vAlign w:val="center"/>
                </w:tcPr>
                <w:p w14:paraId="3575FB6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15175C3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达标</w:t>
                  </w:r>
                </w:p>
              </w:tc>
            </w:tr>
            <w:tr w14:paraId="4AA69E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restart"/>
                  <w:tcBorders>
                    <w:top w:val="single" w:color="auto" w:sz="2" w:space="0"/>
                    <w:left w:val="single" w:color="auto" w:sz="12" w:space="0"/>
                    <w:bottom w:val="single" w:color="auto" w:sz="2" w:space="0"/>
                    <w:right w:val="single" w:color="auto" w:sz="4" w:space="0"/>
                  </w:tcBorders>
                  <w:vAlign w:val="center"/>
                </w:tcPr>
                <w:p w14:paraId="3AB375E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DA003</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p>
                <w:p w14:paraId="57864483">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50t/h备用燃气锅炉</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p>
                <w:p w14:paraId="298AC781">
                  <w:pPr>
                    <w:jc w:val="center"/>
                    <w:rPr>
                      <w:rFonts w:hint="default"/>
                      <w:lang w:val="en-US" w:eastAsia="zh-CN"/>
                    </w:rPr>
                  </w:pPr>
                  <w:r>
                    <w:rPr>
                      <w:rFonts w:hint="eastAsia"/>
                      <w:lang w:val="en-US" w:eastAsia="zh-CN"/>
                    </w:rPr>
                    <w:t>2024.03.19-20</w:t>
                  </w:r>
                </w:p>
              </w:tc>
              <w:tc>
                <w:tcPr>
                  <w:tcW w:w="713" w:type="pct"/>
                  <w:tcBorders>
                    <w:top w:val="single" w:color="auto" w:sz="4" w:space="0"/>
                    <w:left w:val="single" w:color="auto" w:sz="4" w:space="0"/>
                    <w:bottom w:val="single" w:color="auto" w:sz="4" w:space="0"/>
                    <w:right w:val="single" w:color="auto" w:sz="4" w:space="0"/>
                  </w:tcBorders>
                  <w:vAlign w:val="center"/>
                </w:tcPr>
                <w:p w14:paraId="7DCD7DB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14:paraId="5131DD0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ND</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14:paraId="16A99578">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059D27E1">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10</w:t>
                  </w:r>
                </w:p>
              </w:tc>
              <w:tc>
                <w:tcPr>
                  <w:tcW w:w="760" w:type="pct"/>
                  <w:tcBorders>
                    <w:top w:val="single" w:color="auto" w:sz="4" w:space="0"/>
                    <w:left w:val="single" w:color="auto" w:sz="4" w:space="0"/>
                    <w:bottom w:val="single" w:color="auto" w:sz="4" w:space="0"/>
                    <w:right w:val="single" w:color="auto" w:sz="4" w:space="0"/>
                  </w:tcBorders>
                  <w:vAlign w:val="center"/>
                </w:tcPr>
                <w:p w14:paraId="4D4131EA">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209C38D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238E8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6A314816">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vAlign w:val="center"/>
                </w:tcPr>
                <w:p w14:paraId="6CBF5636">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673" w:type="pct"/>
                  <w:tcBorders>
                    <w:top w:val="single" w:color="auto" w:sz="4" w:space="0"/>
                    <w:left w:val="single" w:color="auto" w:sz="4" w:space="0"/>
                    <w:bottom w:val="single" w:color="auto" w:sz="4" w:space="0"/>
                    <w:right w:val="single" w:color="auto" w:sz="4" w:space="0"/>
                  </w:tcBorders>
                  <w:vAlign w:val="center"/>
                </w:tcPr>
                <w:p w14:paraId="7B5CC21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ND</w:t>
                  </w:r>
                </w:p>
              </w:tc>
              <w:tc>
                <w:tcPr>
                  <w:tcW w:w="751" w:type="pct"/>
                  <w:tcBorders>
                    <w:top w:val="single" w:color="auto" w:sz="4" w:space="0"/>
                    <w:left w:val="single" w:color="auto" w:sz="4" w:space="0"/>
                    <w:bottom w:val="single" w:color="auto" w:sz="4" w:space="0"/>
                    <w:right w:val="single" w:color="auto" w:sz="4" w:space="0"/>
                  </w:tcBorders>
                  <w:vAlign w:val="center"/>
                </w:tcPr>
                <w:p w14:paraId="7286870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6DB4200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35</w:t>
                  </w:r>
                </w:p>
              </w:tc>
              <w:tc>
                <w:tcPr>
                  <w:tcW w:w="760" w:type="pct"/>
                  <w:tcBorders>
                    <w:top w:val="single" w:color="auto" w:sz="4" w:space="0"/>
                    <w:left w:val="single" w:color="auto" w:sz="4" w:space="0"/>
                    <w:bottom w:val="single" w:color="auto" w:sz="4" w:space="0"/>
                    <w:right w:val="single" w:color="auto" w:sz="4" w:space="0"/>
                  </w:tcBorders>
                  <w:vAlign w:val="center"/>
                </w:tcPr>
                <w:p w14:paraId="1C078BB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4" w:space="0"/>
                    <w:right w:val="single" w:color="auto" w:sz="12" w:space="0"/>
                  </w:tcBorders>
                  <w:vAlign w:val="center"/>
                </w:tcPr>
                <w:p w14:paraId="491B0889">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008D39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6FBE1746">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4" w:space="0"/>
                    <w:right w:val="single" w:color="auto" w:sz="4" w:space="0"/>
                  </w:tcBorders>
                  <w:shd w:val="clear" w:color="auto" w:fill="auto"/>
                  <w:vAlign w:val="center"/>
                </w:tcPr>
                <w:p w14:paraId="3A542A34">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673" w:type="pct"/>
                  <w:tcBorders>
                    <w:top w:val="single" w:color="auto" w:sz="4" w:space="0"/>
                    <w:left w:val="single" w:color="auto" w:sz="4" w:space="0"/>
                    <w:bottom w:val="single" w:color="auto" w:sz="4" w:space="0"/>
                    <w:right w:val="single" w:color="auto" w:sz="4" w:space="0"/>
                  </w:tcBorders>
                  <w:shd w:val="clear" w:color="auto" w:fill="auto"/>
                  <w:vAlign w:val="center"/>
                </w:tcPr>
                <w:p w14:paraId="01F9A33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21.7</w:t>
                  </w:r>
                </w:p>
              </w:tc>
              <w:tc>
                <w:tcPr>
                  <w:tcW w:w="751" w:type="pct"/>
                  <w:tcBorders>
                    <w:top w:val="single" w:color="auto" w:sz="4" w:space="0"/>
                    <w:left w:val="single" w:color="auto" w:sz="4" w:space="0"/>
                    <w:bottom w:val="single" w:color="auto" w:sz="4" w:space="0"/>
                    <w:right w:val="single" w:color="auto" w:sz="4" w:space="0"/>
                  </w:tcBorders>
                  <w:shd w:val="clear" w:color="auto" w:fill="auto"/>
                  <w:vAlign w:val="center"/>
                </w:tcPr>
                <w:p w14:paraId="650789E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22.5</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72EA4D4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50</w:t>
                  </w:r>
                </w:p>
              </w:tc>
              <w:tc>
                <w:tcPr>
                  <w:tcW w:w="760" w:type="pct"/>
                  <w:tcBorders>
                    <w:top w:val="single" w:color="auto" w:sz="4" w:space="0"/>
                    <w:left w:val="single" w:color="auto" w:sz="4" w:space="0"/>
                    <w:bottom w:val="single" w:color="auto" w:sz="4" w:space="0"/>
                    <w:right w:val="single" w:color="auto" w:sz="4" w:space="0"/>
                  </w:tcBorders>
                  <w:shd w:val="clear" w:color="auto" w:fill="auto"/>
                  <w:vAlign w:val="center"/>
                </w:tcPr>
                <w:p w14:paraId="723BD2FA">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0.344</w:t>
                  </w:r>
                </w:p>
              </w:tc>
              <w:tc>
                <w:tcPr>
                  <w:tcW w:w="661" w:type="pct"/>
                  <w:tcBorders>
                    <w:top w:val="single" w:color="auto" w:sz="4" w:space="0"/>
                    <w:left w:val="single" w:color="auto" w:sz="4" w:space="0"/>
                    <w:bottom w:val="single" w:color="auto" w:sz="4" w:space="0"/>
                    <w:right w:val="single" w:color="auto" w:sz="12" w:space="0"/>
                  </w:tcBorders>
                  <w:shd w:val="clear" w:color="auto" w:fill="auto"/>
                  <w:vAlign w:val="center"/>
                </w:tcPr>
                <w:p w14:paraId="501531C1">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达标</w:t>
                  </w:r>
                </w:p>
              </w:tc>
            </w:tr>
            <w:tr w14:paraId="5E0F6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797" w:type="pct"/>
                  <w:vMerge w:val="continue"/>
                  <w:tcBorders>
                    <w:top w:val="single" w:color="auto" w:sz="2" w:space="0"/>
                    <w:left w:val="single" w:color="auto" w:sz="12" w:space="0"/>
                    <w:bottom w:val="single" w:color="auto" w:sz="2" w:space="0"/>
                    <w:right w:val="single" w:color="auto" w:sz="4" w:space="0"/>
                  </w:tcBorders>
                  <w:vAlign w:val="center"/>
                </w:tcPr>
                <w:p w14:paraId="11FEBCB9">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713" w:type="pct"/>
                  <w:tcBorders>
                    <w:top w:val="single" w:color="auto" w:sz="4" w:space="0"/>
                    <w:left w:val="single" w:color="auto" w:sz="4" w:space="0"/>
                    <w:bottom w:val="single" w:color="auto" w:sz="12" w:space="0"/>
                    <w:right w:val="single" w:color="auto" w:sz="4" w:space="0"/>
                  </w:tcBorders>
                  <w:vAlign w:val="center"/>
                </w:tcPr>
                <w:p w14:paraId="3065A8E9">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烟气黑度</w:t>
                  </w:r>
                </w:p>
                <w:p w14:paraId="7A4E594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林格曼黑度）</w:t>
                  </w:r>
                </w:p>
              </w:tc>
              <w:tc>
                <w:tcPr>
                  <w:tcW w:w="1425" w:type="pct"/>
                  <w:gridSpan w:val="2"/>
                  <w:tcBorders>
                    <w:top w:val="single" w:color="auto" w:sz="4" w:space="0"/>
                    <w:left w:val="single" w:color="auto" w:sz="4" w:space="0"/>
                    <w:bottom w:val="single" w:color="auto" w:sz="12" w:space="0"/>
                    <w:right w:val="single" w:color="auto" w:sz="4" w:space="0"/>
                  </w:tcBorders>
                  <w:vAlign w:val="center"/>
                </w:tcPr>
                <w:p w14:paraId="087FF45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&lt;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641" w:type="pct"/>
                  <w:tcBorders>
                    <w:top w:val="single" w:color="auto" w:sz="4" w:space="0"/>
                    <w:left w:val="single" w:color="auto" w:sz="4" w:space="0"/>
                    <w:bottom w:val="single" w:color="auto" w:sz="12" w:space="0"/>
                    <w:right w:val="single" w:color="auto" w:sz="4" w:space="0"/>
                  </w:tcBorders>
                  <w:shd w:val="clear" w:color="auto" w:fill="auto"/>
                  <w:vAlign w:val="center"/>
                </w:tcPr>
                <w:p w14:paraId="60204755">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1级</w:t>
                  </w:r>
                </w:p>
              </w:tc>
              <w:tc>
                <w:tcPr>
                  <w:tcW w:w="760" w:type="pct"/>
                  <w:tcBorders>
                    <w:top w:val="single" w:color="auto" w:sz="4" w:space="0"/>
                    <w:left w:val="single" w:color="auto" w:sz="4" w:space="0"/>
                    <w:bottom w:val="single" w:color="auto" w:sz="12" w:space="0"/>
                    <w:right w:val="single" w:color="auto" w:sz="4" w:space="0"/>
                  </w:tcBorders>
                  <w:vAlign w:val="center"/>
                </w:tcPr>
                <w:p w14:paraId="7BE6D18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661" w:type="pct"/>
                  <w:tcBorders>
                    <w:top w:val="single" w:color="auto" w:sz="4" w:space="0"/>
                    <w:left w:val="single" w:color="auto" w:sz="4" w:space="0"/>
                    <w:bottom w:val="single" w:color="auto" w:sz="12" w:space="0"/>
                    <w:right w:val="single" w:color="auto" w:sz="12" w:space="0"/>
                  </w:tcBorders>
                  <w:vAlign w:val="center"/>
                </w:tcPr>
                <w:p w14:paraId="6334439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达标</w:t>
                  </w:r>
                </w:p>
              </w:tc>
            </w:tr>
          </w:tbl>
          <w:p w14:paraId="6DF960C9">
            <w:pPr>
              <w:spacing w:before="60"/>
              <w:ind w:firstLine="422" w:firstLineChars="200"/>
              <w:jc w:val="both"/>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t>②、废水</w:t>
            </w:r>
          </w:p>
          <w:p w14:paraId="12B5E13E">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现有项目废水主要为生活污水和生产废水。</w:t>
            </w:r>
          </w:p>
          <w:p w14:paraId="03824F44">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生产废水包括：净水站强排水、反渗透浓水、酸碱废水、锅炉定连排水和冷却塔排水等。其中净水站强排水、锅炉定连排水回流至净水站，回用于生产，不外排。反渗透浓水</w:t>
            </w:r>
            <w:r>
              <w:rPr>
                <w:rFonts w:hint="eastAsia" w:cs="Times New Roman"/>
                <w:bCs/>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酸碱废水和冷却塔排水经过厂区现有的废水处理系统（中和沉淀）预处理达标后接入平望镇污水处理厂。</w:t>
            </w:r>
          </w:p>
          <w:p w14:paraId="65CA0C32">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生活污水通过市政管网排入平望生活污水处理有限公司进行处理。</w:t>
            </w:r>
          </w:p>
          <w:p w14:paraId="1EC7872D">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根据</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江苏华电吴江</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热电2024年08月20日的自行监测</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报告(</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监测单位：苏州华瑞环境检测有限公司，报告编号：HR2408101</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，现有项目</w:t>
            </w:r>
            <w:r>
              <w:rPr>
                <w:rFonts w:hint="eastAsia" w:cs="Times New Roman"/>
                <w:bCs/>
                <w:color w:val="000000" w:themeColor="text1"/>
                <w:szCs w:val="21"/>
                <w:highlight w:val="none"/>
                <w:lang w:val="en-US" w:eastAsia="zh-CN"/>
                <w14:textFill>
                  <w14:solidFill>
                    <w14:schemeClr w14:val="tx1"/>
                  </w14:solidFill>
                </w14:textFill>
              </w:rPr>
              <w:t>生产</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废水排放情况见表2-</w:t>
            </w:r>
            <w:r>
              <w:rPr>
                <w:rFonts w:hint="eastAsia" w:cs="Times New Roman"/>
                <w:bCs/>
                <w:color w:val="000000" w:themeColor="text1"/>
                <w:szCs w:val="21"/>
                <w:highlight w:val="none"/>
                <w:lang w:val="en-US" w:eastAsia="zh-CN"/>
                <w14:textFill>
                  <w14:solidFill>
                    <w14:schemeClr w14:val="tx1"/>
                  </w14:solidFill>
                </w14:textFill>
              </w:rPr>
              <w:t>12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66C35C92">
            <w:pPr>
              <w:numPr>
                <w:ilvl w:val="0"/>
                <w:numId w:val="0"/>
              </w:numPr>
              <w:adjustRightInd w:val="0"/>
              <w:snapToGrid w:val="0"/>
              <w:spacing w:line="440" w:lineRule="exact"/>
              <w:ind w:firstLine="420" w:firstLineChars="20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p>
          <w:p w14:paraId="3691EE75">
            <w:pPr>
              <w:numPr>
                <w:ilvl w:val="0"/>
                <w:numId w:val="0"/>
              </w:numPr>
              <w:adjustRightInd w:val="0"/>
              <w:snapToGrid w:val="0"/>
              <w:spacing w:line="440" w:lineRule="exact"/>
              <w:ind w:firstLine="420" w:firstLineChars="20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p>
          <w:p w14:paraId="49B87FEA">
            <w:pPr>
              <w:pStyle w:val="45"/>
              <w:rPr>
                <w:rFonts w:hint="default"/>
                <w:color w:val="000000" w:themeColor="text1"/>
                <w:lang w:val="en-US" w:eastAsia="zh-CN"/>
                <w14:textFill>
                  <w14:solidFill>
                    <w14:schemeClr w14:val="tx1"/>
                  </w14:solidFill>
                </w14:textFill>
              </w:rPr>
            </w:pPr>
          </w:p>
          <w:p w14:paraId="0134CCB5">
            <w:pPr>
              <w:numPr>
                <w:ilvl w:val="0"/>
                <w:numId w:val="0"/>
              </w:numPr>
              <w:adjustRightInd w:val="0"/>
              <w:snapToGrid w:val="0"/>
              <w:spacing w:line="440" w:lineRule="exact"/>
              <w:ind w:firstLine="420" w:firstLineChars="20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p>
          <w:p w14:paraId="35C43C8E">
            <w:pPr>
              <w:numPr>
                <w:ilvl w:val="0"/>
                <w:numId w:val="0"/>
              </w:numPr>
              <w:adjustRightInd w:val="0"/>
              <w:snapToGrid w:val="0"/>
              <w:spacing w:line="440" w:lineRule="exact"/>
              <w:ind w:firstLine="420" w:firstLineChars="20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表2-</w:t>
            </w:r>
            <w:r>
              <w:rPr>
                <w:rFonts w:hint="eastAsia" w:cs="Times New Roman"/>
                <w:bCs/>
                <w:color w:val="000000" w:themeColor="text1"/>
                <w:szCs w:val="21"/>
                <w:highlight w:val="none"/>
                <w:lang w:val="en-US" w:eastAsia="zh-CN"/>
                <w14:textFill>
                  <w14:solidFill>
                    <w14:schemeClr w14:val="tx1"/>
                  </w14:solidFill>
                </w14:textFill>
              </w:rPr>
              <w:t>12</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 xml:space="preserve">  现有项目废水监测数据</w:t>
            </w:r>
          </w:p>
          <w:tbl>
            <w:tblPr>
              <w:tblStyle w:val="36"/>
              <w:tblW w:w="493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6"/>
              <w:gridCol w:w="746"/>
              <w:gridCol w:w="1294"/>
              <w:gridCol w:w="2059"/>
              <w:gridCol w:w="1705"/>
              <w:gridCol w:w="1268"/>
            </w:tblGrid>
            <w:tr w14:paraId="2C3D26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67" w:type="pct"/>
                  <w:shd w:val="clear" w:color="auto" w:fill="auto"/>
                  <w:vAlign w:val="center"/>
                </w:tcPr>
                <w:p w14:paraId="5B76E4AD">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监测日期</w:t>
                  </w:r>
                </w:p>
              </w:tc>
              <w:tc>
                <w:tcPr>
                  <w:tcW w:w="467" w:type="pct"/>
                  <w:shd w:val="clear" w:color="auto" w:fill="auto"/>
                  <w:vAlign w:val="center"/>
                </w:tcPr>
                <w:p w14:paraId="46885545">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监测点位</w:t>
                  </w:r>
                </w:p>
              </w:tc>
              <w:tc>
                <w:tcPr>
                  <w:tcW w:w="810" w:type="pct"/>
                  <w:shd w:val="clear" w:color="auto" w:fill="auto"/>
                  <w:vAlign w:val="center"/>
                </w:tcPr>
                <w:p w14:paraId="6CFEDC83">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监测项目</w:t>
                  </w:r>
                </w:p>
              </w:tc>
              <w:tc>
                <w:tcPr>
                  <w:tcW w:w="1290" w:type="pct"/>
                  <w:shd w:val="clear" w:color="auto" w:fill="auto"/>
                  <w:vAlign w:val="center"/>
                </w:tcPr>
                <w:p w14:paraId="6BAD2A62">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监测结果</w:t>
                  </w:r>
                  <w:r>
                    <w:rPr>
                      <w:rFonts w:hint="default" w:ascii="Times New Roman" w:hAnsi="Times New Roman" w:eastAsia="宋体" w:cs="Times New Roman"/>
                      <w:b/>
                      <w:bCs/>
                      <w:color w:val="000000" w:themeColor="text1"/>
                      <w:kern w:val="0"/>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14:textFill>
                        <w14:solidFill>
                          <w14:schemeClr w14:val="tx1"/>
                        </w14:solidFill>
                      </w14:textFill>
                    </w:rPr>
                    <w:t>mg</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/L</w:t>
                  </w:r>
                  <w:r>
                    <w:rPr>
                      <w:rFonts w:hint="default" w:ascii="Times New Roman" w:hAnsi="Times New Roman" w:eastAsia="宋体" w:cs="Times New Roman"/>
                      <w:b/>
                      <w:bCs/>
                      <w:color w:val="000000" w:themeColor="text1"/>
                      <w:kern w:val="0"/>
                      <w:sz w:val="18"/>
                      <w:szCs w:val="18"/>
                      <w:highlight w:val="none"/>
                      <w:lang w:eastAsia="zh-CN"/>
                      <w14:textFill>
                        <w14:solidFill>
                          <w14:schemeClr w14:val="tx1"/>
                        </w14:solidFill>
                      </w14:textFill>
                    </w:rPr>
                    <w:t>）</w:t>
                  </w:r>
                </w:p>
              </w:tc>
              <w:tc>
                <w:tcPr>
                  <w:tcW w:w="1068" w:type="pct"/>
                  <w:vAlign w:val="center"/>
                </w:tcPr>
                <w:p w14:paraId="4D1EBCCB">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标准值</w:t>
                  </w:r>
                  <w:r>
                    <w:rPr>
                      <w:rFonts w:hint="default" w:ascii="Times New Roman" w:hAnsi="Times New Roman" w:eastAsia="宋体" w:cs="Times New Roman"/>
                      <w:b/>
                      <w:bCs/>
                      <w:color w:val="000000" w:themeColor="text1"/>
                      <w:kern w:val="0"/>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14:textFill>
                        <w14:solidFill>
                          <w14:schemeClr w14:val="tx1"/>
                        </w14:solidFill>
                      </w14:textFill>
                    </w:rPr>
                    <w:t>mg</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/L</w:t>
                  </w:r>
                  <w:r>
                    <w:rPr>
                      <w:rFonts w:hint="default" w:ascii="Times New Roman" w:hAnsi="Times New Roman" w:eastAsia="宋体" w:cs="Times New Roman"/>
                      <w:b/>
                      <w:bCs/>
                      <w:color w:val="000000" w:themeColor="text1"/>
                      <w:kern w:val="0"/>
                      <w:sz w:val="18"/>
                      <w:szCs w:val="18"/>
                      <w:highlight w:val="none"/>
                      <w:lang w:eastAsia="zh-CN"/>
                      <w14:textFill>
                        <w14:solidFill>
                          <w14:schemeClr w14:val="tx1"/>
                        </w14:solidFill>
                      </w14:textFill>
                    </w:rPr>
                    <w:t>）</w:t>
                  </w:r>
                </w:p>
              </w:tc>
              <w:tc>
                <w:tcPr>
                  <w:tcW w:w="794" w:type="pct"/>
                  <w:vAlign w:val="center"/>
                </w:tcPr>
                <w:p w14:paraId="540FD07B">
                  <w:pPr>
                    <w:widowControl/>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达标情况</w:t>
                  </w:r>
                </w:p>
              </w:tc>
            </w:tr>
            <w:tr w14:paraId="56FEC3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67" w:type="pct"/>
                  <w:vMerge w:val="restart"/>
                  <w:shd w:val="clear" w:color="auto" w:fill="auto"/>
                  <w:vAlign w:val="center"/>
                </w:tcPr>
                <w:p w14:paraId="08DDFB69">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t>202</w:t>
                  </w:r>
                  <w:r>
                    <w:rPr>
                      <w:rFonts w:hint="default" w:ascii="Times New Roman" w:hAnsi="Times New Roman" w:eastAsia="宋体" w:cs="Times New Roman"/>
                      <w:color w:val="000000" w:themeColor="text1"/>
                      <w:spacing w:val="-6"/>
                      <w:sz w:val="18"/>
                      <w:szCs w:val="18"/>
                      <w:highlight w:val="none"/>
                      <w:lang w:val="en-US" w:eastAsia="zh-CN"/>
                      <w14:textFill>
                        <w14:solidFill>
                          <w14:schemeClr w14:val="tx1"/>
                        </w14:solidFill>
                      </w14:textFill>
                    </w:rPr>
                    <w:t>4.08.20</w:t>
                  </w:r>
                </w:p>
              </w:tc>
              <w:tc>
                <w:tcPr>
                  <w:tcW w:w="467" w:type="pct"/>
                  <w:vMerge w:val="restart"/>
                  <w:shd w:val="clear" w:color="auto" w:fill="auto"/>
                  <w:vAlign w:val="center"/>
                </w:tcPr>
                <w:p w14:paraId="4873F5A3">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厂区生产废水排口</w:t>
                  </w:r>
                </w:p>
              </w:tc>
              <w:tc>
                <w:tcPr>
                  <w:tcW w:w="810" w:type="pct"/>
                  <w:shd w:val="clear" w:color="auto" w:fill="auto"/>
                  <w:vAlign w:val="center"/>
                </w:tcPr>
                <w:p w14:paraId="0B778B79">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pH</w:t>
                  </w:r>
                </w:p>
              </w:tc>
              <w:tc>
                <w:tcPr>
                  <w:tcW w:w="1290" w:type="pct"/>
                  <w:shd w:val="clear" w:color="auto" w:fill="auto"/>
                  <w:vAlign w:val="center"/>
                </w:tcPr>
                <w:p w14:paraId="4BFDFF1D">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7.4（无量纲）</w:t>
                  </w:r>
                </w:p>
              </w:tc>
              <w:tc>
                <w:tcPr>
                  <w:tcW w:w="1068" w:type="pct"/>
                  <w:vAlign w:val="center"/>
                </w:tcPr>
                <w:p w14:paraId="1EEEAB03">
                  <w:pPr>
                    <w:widowControl/>
                    <w:jc w:val="cente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6~9</w:t>
                  </w:r>
                  <w: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无量纲</w:t>
                  </w:r>
                  <w: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t>）</w:t>
                  </w:r>
                </w:p>
              </w:tc>
              <w:tc>
                <w:tcPr>
                  <w:tcW w:w="794" w:type="pct"/>
                  <w:vAlign w:val="center"/>
                </w:tcPr>
                <w:p w14:paraId="216EF64C">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181BCC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67" w:type="pct"/>
                  <w:vMerge w:val="continue"/>
                  <w:shd w:val="clear" w:color="auto" w:fill="auto"/>
                  <w:vAlign w:val="center"/>
                </w:tcPr>
                <w:p w14:paraId="1BE16155">
                  <w:pPr>
                    <w:widowControl/>
                    <w:jc w:val="cente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pPr>
                </w:p>
              </w:tc>
              <w:tc>
                <w:tcPr>
                  <w:tcW w:w="467" w:type="pct"/>
                  <w:vMerge w:val="continue"/>
                  <w:shd w:val="clear" w:color="auto" w:fill="auto"/>
                  <w:vAlign w:val="center"/>
                </w:tcPr>
                <w:p w14:paraId="760E46F4">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810" w:type="pct"/>
                  <w:shd w:val="clear" w:color="auto" w:fill="auto"/>
                  <w:vAlign w:val="center"/>
                </w:tcPr>
                <w:p w14:paraId="20C4028F">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悬浮物</w:t>
                  </w:r>
                </w:p>
              </w:tc>
              <w:tc>
                <w:tcPr>
                  <w:tcW w:w="1290" w:type="pct"/>
                  <w:shd w:val="clear" w:color="auto" w:fill="auto"/>
                  <w:vAlign w:val="center"/>
                </w:tcPr>
                <w:p w14:paraId="0A34734B">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33</w:t>
                  </w:r>
                </w:p>
              </w:tc>
              <w:tc>
                <w:tcPr>
                  <w:tcW w:w="1068" w:type="pct"/>
                  <w:vAlign w:val="center"/>
                </w:tcPr>
                <w:p w14:paraId="474197B3">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00</w:t>
                  </w:r>
                </w:p>
              </w:tc>
              <w:tc>
                <w:tcPr>
                  <w:tcW w:w="794" w:type="pct"/>
                  <w:vAlign w:val="center"/>
                </w:tcPr>
                <w:p w14:paraId="1ADA48C0">
                  <w:pPr>
                    <w:widowControl/>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达标</w:t>
                  </w:r>
                </w:p>
              </w:tc>
            </w:tr>
            <w:tr w14:paraId="2BEEDE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67" w:type="pct"/>
                  <w:vMerge w:val="continue"/>
                  <w:shd w:val="clear" w:color="auto" w:fill="auto"/>
                  <w:vAlign w:val="center"/>
                </w:tcPr>
                <w:p w14:paraId="6F41D79C">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467" w:type="pct"/>
                  <w:vMerge w:val="continue"/>
                  <w:shd w:val="clear" w:color="auto" w:fill="auto"/>
                  <w:vAlign w:val="center"/>
                </w:tcPr>
                <w:p w14:paraId="136AA901">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810" w:type="pct"/>
                  <w:shd w:val="clear" w:color="auto" w:fill="auto"/>
                  <w:vAlign w:val="center"/>
                </w:tcPr>
                <w:p w14:paraId="12310EA5">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化学需氧量</w:t>
                  </w:r>
                </w:p>
              </w:tc>
              <w:tc>
                <w:tcPr>
                  <w:tcW w:w="1290" w:type="pct"/>
                  <w:shd w:val="clear" w:color="auto" w:fill="auto"/>
                  <w:vAlign w:val="center"/>
                </w:tcPr>
                <w:p w14:paraId="5893748E">
                  <w:pPr>
                    <w:widowControl/>
                    <w:jc w:val="center"/>
                    <w:rPr>
                      <w:rFonts w:hint="default" w:ascii="Times New Roman" w:hAnsi="Times New Roman" w:eastAsia="宋体" w:cs="Times New Roman"/>
                      <w:b/>
                      <w:bCs/>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val="en-US" w:eastAsia="zh-CN"/>
                      <w14:textFill>
                        <w14:solidFill>
                          <w14:schemeClr w14:val="tx1"/>
                        </w14:solidFill>
                      </w14:textFill>
                    </w:rPr>
                    <w:t>28</w:t>
                  </w:r>
                </w:p>
              </w:tc>
              <w:tc>
                <w:tcPr>
                  <w:tcW w:w="1068" w:type="pct"/>
                  <w:vAlign w:val="center"/>
                </w:tcPr>
                <w:p w14:paraId="14A42A57">
                  <w:pPr>
                    <w:widowControl/>
                    <w:jc w:val="cente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500</w:t>
                  </w:r>
                </w:p>
              </w:tc>
              <w:tc>
                <w:tcPr>
                  <w:tcW w:w="794" w:type="pct"/>
                  <w:vAlign w:val="center"/>
                </w:tcPr>
                <w:p w14:paraId="385DFA70">
                  <w:pPr>
                    <w:widowControl/>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bl>
          <w:p w14:paraId="55936390">
            <w:pPr>
              <w:pStyle w:val="28"/>
              <w:spacing w:line="440" w:lineRule="exact"/>
              <w:ind w:firstLine="422" w:firstLineChars="200"/>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③、</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噪声</w:t>
            </w:r>
          </w:p>
          <w:p w14:paraId="04E48FFA">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噪声主要来源于热电联产机组和50t/h蒸汽锅炉运行时产生的机械噪声，通过对设备隔声减振后对周围环境影响较小。</w:t>
            </w:r>
          </w:p>
          <w:p w14:paraId="2A76D23C">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根据</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江苏华电吴江</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热电2024年08月30日的自行监测</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报告(</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监测单位：苏州华瑞环境检测有限公司，报告编号：HR2408148</w:t>
            </w:r>
            <w:r>
              <w:rPr>
                <w:rFonts w:hint="default" w:ascii="Times New Roman" w:hAnsi="Times New Roman" w:eastAsia="宋体" w:cs="Times New Roman"/>
                <w:bCs/>
                <w:color w:val="000000" w:themeColor="text1"/>
                <w:szCs w:val="21"/>
                <w:highlight w:val="none"/>
                <w:lang w:val="zh-CN"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厂界噪声排放情况如下：</w:t>
            </w:r>
          </w:p>
          <w:p w14:paraId="4AC26217">
            <w:pPr>
              <w:pStyle w:val="3"/>
              <w:spacing w:before="0" w:after="0" w:line="240" w:lineRule="auto"/>
              <w:ind w:left="0" w:firstLine="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表2-</w:t>
            </w:r>
            <w:r>
              <w:rPr>
                <w:rFonts w:hint="eastAsia" w:eastAsia="宋体" w:cs="Times New Roman"/>
                <w:b w:val="0"/>
                <w:bCs w:val="0"/>
                <w:color w:val="000000" w:themeColor="text1"/>
                <w:sz w:val="21"/>
                <w:szCs w:val="21"/>
                <w:highlight w:val="none"/>
                <w:lang w:val="en-US" w:eastAsia="zh-CN"/>
                <w14:textFill>
                  <w14:solidFill>
                    <w14:schemeClr w14:val="tx1"/>
                  </w14:solidFill>
                </w14:textFill>
              </w:rPr>
              <w:t xml:space="preserve">13 </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 xml:space="preserve">  现有项目噪声排放情况</w:t>
            </w:r>
          </w:p>
          <w:tbl>
            <w:tblPr>
              <w:tblStyle w:val="36"/>
              <w:tblW w:w="7908"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700"/>
              <w:gridCol w:w="1759"/>
              <w:gridCol w:w="1158"/>
              <w:gridCol w:w="1158"/>
              <w:gridCol w:w="1158"/>
              <w:gridCol w:w="1160"/>
              <w:gridCol w:w="815"/>
            </w:tblGrid>
            <w:tr w14:paraId="7BE9480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131" w:hRule="atLeast"/>
                <w:jc w:val="center"/>
              </w:trPr>
              <w:tc>
                <w:tcPr>
                  <w:tcW w:w="700" w:type="dxa"/>
                  <w:vMerge w:val="restart"/>
                  <w:tcBorders>
                    <w:tl2br w:val="nil"/>
                    <w:tr2bl w:val="nil"/>
                  </w:tcBorders>
                  <w:vAlign w:val="center"/>
                </w:tcPr>
                <w:p w14:paraId="24A4FA42">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日期</w:t>
                  </w:r>
                </w:p>
              </w:tc>
              <w:tc>
                <w:tcPr>
                  <w:tcW w:w="1759" w:type="dxa"/>
                  <w:vMerge w:val="restart"/>
                  <w:tcBorders>
                    <w:tl2br w:val="nil"/>
                    <w:tr2bl w:val="nil"/>
                  </w:tcBorders>
                  <w:vAlign w:val="center"/>
                </w:tcPr>
                <w:p w14:paraId="5D3DD8A0">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监测点位</w:t>
                  </w:r>
                </w:p>
              </w:tc>
              <w:tc>
                <w:tcPr>
                  <w:tcW w:w="2316" w:type="dxa"/>
                  <w:gridSpan w:val="2"/>
                  <w:tcBorders>
                    <w:tl2br w:val="nil"/>
                    <w:tr2bl w:val="nil"/>
                  </w:tcBorders>
                  <w:vAlign w:val="center"/>
                </w:tcPr>
                <w:p w14:paraId="6CE7CD40">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昼间厂界噪声dB(A)</w:t>
                  </w:r>
                </w:p>
              </w:tc>
              <w:tc>
                <w:tcPr>
                  <w:tcW w:w="2318" w:type="dxa"/>
                  <w:gridSpan w:val="2"/>
                  <w:tcBorders>
                    <w:tl2br w:val="nil"/>
                    <w:tr2bl w:val="nil"/>
                  </w:tcBorders>
                  <w:vAlign w:val="center"/>
                </w:tcPr>
                <w:p w14:paraId="483AC02E">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夜间厂界噪声dB(A)</w:t>
                  </w:r>
                </w:p>
              </w:tc>
              <w:tc>
                <w:tcPr>
                  <w:tcW w:w="815" w:type="dxa"/>
                  <w:vMerge w:val="restart"/>
                  <w:tcBorders>
                    <w:tl2br w:val="nil"/>
                    <w:tr2bl w:val="nil"/>
                  </w:tcBorders>
                  <w:vAlign w:val="center"/>
                </w:tcPr>
                <w:p w14:paraId="7498B91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判定</w:t>
                  </w:r>
                </w:p>
              </w:tc>
            </w:tr>
            <w:tr w14:paraId="61FFA54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131" w:hRule="atLeast"/>
                <w:jc w:val="center"/>
              </w:trPr>
              <w:tc>
                <w:tcPr>
                  <w:tcW w:w="700" w:type="dxa"/>
                  <w:vMerge w:val="continue"/>
                  <w:tcBorders>
                    <w:tl2br w:val="nil"/>
                    <w:tr2bl w:val="nil"/>
                  </w:tcBorders>
                  <w:vAlign w:val="center"/>
                </w:tcPr>
                <w:p w14:paraId="191E07F2">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vMerge w:val="continue"/>
                  <w:tcBorders>
                    <w:tl2br w:val="nil"/>
                    <w:tr2bl w:val="nil"/>
                  </w:tcBorders>
                  <w:vAlign w:val="center"/>
                </w:tcPr>
                <w:p w14:paraId="56F2F33E">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158" w:type="dxa"/>
                  <w:tcBorders>
                    <w:tl2br w:val="nil"/>
                    <w:tr2bl w:val="nil"/>
                  </w:tcBorders>
                  <w:vAlign w:val="center"/>
                </w:tcPr>
                <w:p w14:paraId="57256A79">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监测值</w:t>
                  </w:r>
                </w:p>
              </w:tc>
              <w:tc>
                <w:tcPr>
                  <w:tcW w:w="1158" w:type="dxa"/>
                  <w:tcBorders>
                    <w:tl2br w:val="nil"/>
                    <w:tr2bl w:val="nil"/>
                  </w:tcBorders>
                  <w:vAlign w:val="center"/>
                </w:tcPr>
                <w:p w14:paraId="3389963B">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标准值</w:t>
                  </w:r>
                </w:p>
              </w:tc>
              <w:tc>
                <w:tcPr>
                  <w:tcW w:w="1158" w:type="dxa"/>
                  <w:tcBorders>
                    <w:tl2br w:val="nil"/>
                    <w:tr2bl w:val="nil"/>
                  </w:tcBorders>
                  <w:vAlign w:val="center"/>
                </w:tcPr>
                <w:p w14:paraId="4235B551">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监测值</w:t>
                  </w:r>
                </w:p>
              </w:tc>
              <w:tc>
                <w:tcPr>
                  <w:tcW w:w="1160" w:type="dxa"/>
                  <w:tcBorders>
                    <w:tl2br w:val="nil"/>
                    <w:tr2bl w:val="nil"/>
                  </w:tcBorders>
                  <w:vAlign w:val="center"/>
                </w:tcPr>
                <w:p w14:paraId="2CEC2A33">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标准值</w:t>
                  </w:r>
                </w:p>
              </w:tc>
              <w:tc>
                <w:tcPr>
                  <w:tcW w:w="815" w:type="dxa"/>
                  <w:vMerge w:val="continue"/>
                  <w:tcBorders>
                    <w:tl2br w:val="nil"/>
                    <w:tr2bl w:val="nil"/>
                  </w:tcBorders>
                  <w:vAlign w:val="center"/>
                </w:tcPr>
                <w:p w14:paraId="5C7CED8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r>
            <w:tr w14:paraId="76FDFC95">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jc w:val="center"/>
              </w:trPr>
              <w:tc>
                <w:tcPr>
                  <w:tcW w:w="700" w:type="dxa"/>
                  <w:vMerge w:val="restart"/>
                  <w:tcBorders>
                    <w:tl2br w:val="nil"/>
                    <w:tr2bl w:val="nil"/>
                  </w:tcBorders>
                  <w:vAlign w:val="center"/>
                </w:tcPr>
                <w:p w14:paraId="3DF90AF0">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202</w:t>
                  </w: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4</w:t>
                  </w:r>
                  <w:r>
                    <w:rPr>
                      <w:rFonts w:hint="default" w:ascii="Times New Roman" w:hAnsi="Times New Roman" w:eastAsia="宋体" w:cs="Times New Roman"/>
                      <w:bCs/>
                      <w:color w:val="000000" w:themeColor="text1"/>
                      <w:sz w:val="18"/>
                      <w:szCs w:val="18"/>
                      <w:highlight w:val="none"/>
                      <w14:textFill>
                        <w14:solidFill>
                          <w14:schemeClr w14:val="tx1"/>
                        </w14:solidFill>
                      </w14:textFill>
                    </w:rPr>
                    <w:t>.08.</w:t>
                  </w: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30</w:t>
                  </w:r>
                </w:p>
              </w:tc>
              <w:tc>
                <w:tcPr>
                  <w:tcW w:w="1759" w:type="dxa"/>
                  <w:tcBorders>
                    <w:tl2br w:val="nil"/>
                    <w:tr2bl w:val="nil"/>
                  </w:tcBorders>
                  <w:vAlign w:val="center"/>
                </w:tcPr>
                <w:p w14:paraId="577E48A2">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东北侧厂界外1米处</w:t>
                  </w:r>
                </w:p>
              </w:tc>
              <w:tc>
                <w:tcPr>
                  <w:tcW w:w="1158" w:type="dxa"/>
                  <w:tcBorders>
                    <w:tl2br w:val="nil"/>
                    <w:tr2bl w:val="nil"/>
                  </w:tcBorders>
                  <w:vAlign w:val="center"/>
                </w:tcPr>
                <w:p w14:paraId="76966BDC">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56.9</w:t>
                  </w:r>
                </w:p>
              </w:tc>
              <w:tc>
                <w:tcPr>
                  <w:tcW w:w="1158" w:type="dxa"/>
                  <w:tcBorders>
                    <w:tl2br w:val="nil"/>
                    <w:tr2bl w:val="nil"/>
                  </w:tcBorders>
                  <w:vAlign w:val="center"/>
                </w:tcPr>
                <w:p w14:paraId="1FAE95F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65</w:t>
                  </w:r>
                </w:p>
              </w:tc>
              <w:tc>
                <w:tcPr>
                  <w:tcW w:w="1158" w:type="dxa"/>
                  <w:tcBorders>
                    <w:tl2br w:val="nil"/>
                    <w:tr2bl w:val="nil"/>
                  </w:tcBorders>
                  <w:vAlign w:val="center"/>
                </w:tcPr>
                <w:p w14:paraId="7A49AA97">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47.7</w:t>
                  </w:r>
                </w:p>
              </w:tc>
              <w:tc>
                <w:tcPr>
                  <w:tcW w:w="1160" w:type="dxa"/>
                  <w:tcBorders>
                    <w:tl2br w:val="nil"/>
                    <w:tr2bl w:val="nil"/>
                  </w:tcBorders>
                  <w:vAlign w:val="center"/>
                </w:tcPr>
                <w:p w14:paraId="5860419A">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55</w:t>
                  </w:r>
                </w:p>
              </w:tc>
              <w:tc>
                <w:tcPr>
                  <w:tcW w:w="815" w:type="dxa"/>
                  <w:tcBorders>
                    <w:tl2br w:val="nil"/>
                    <w:tr2bl w:val="nil"/>
                  </w:tcBorders>
                  <w:vAlign w:val="center"/>
                </w:tcPr>
                <w:p w14:paraId="16A4DB2C">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787FA22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jc w:val="center"/>
              </w:trPr>
              <w:tc>
                <w:tcPr>
                  <w:tcW w:w="700" w:type="dxa"/>
                  <w:vMerge w:val="continue"/>
                  <w:tcBorders>
                    <w:tl2br w:val="nil"/>
                    <w:tr2bl w:val="nil"/>
                  </w:tcBorders>
                  <w:vAlign w:val="center"/>
                </w:tcPr>
                <w:p w14:paraId="4FE75097">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21F4D6BA">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东南侧厂界外1米处</w:t>
                  </w:r>
                </w:p>
              </w:tc>
              <w:tc>
                <w:tcPr>
                  <w:tcW w:w="1158" w:type="dxa"/>
                  <w:tcBorders>
                    <w:tl2br w:val="nil"/>
                    <w:tr2bl w:val="nil"/>
                  </w:tcBorders>
                  <w:vAlign w:val="center"/>
                </w:tcPr>
                <w:p w14:paraId="4AB15BA6">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58.7</w:t>
                  </w:r>
                </w:p>
              </w:tc>
              <w:tc>
                <w:tcPr>
                  <w:tcW w:w="1158" w:type="dxa"/>
                  <w:tcBorders>
                    <w:tl2br w:val="nil"/>
                    <w:tr2bl w:val="nil"/>
                  </w:tcBorders>
                  <w:vAlign w:val="center"/>
                </w:tcPr>
                <w:p w14:paraId="2DB1C27F">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65</w:t>
                  </w:r>
                </w:p>
              </w:tc>
              <w:tc>
                <w:tcPr>
                  <w:tcW w:w="1158" w:type="dxa"/>
                  <w:tcBorders>
                    <w:tl2br w:val="nil"/>
                    <w:tr2bl w:val="nil"/>
                  </w:tcBorders>
                  <w:vAlign w:val="center"/>
                </w:tcPr>
                <w:p w14:paraId="64D34862">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48.0</w:t>
                  </w:r>
                </w:p>
              </w:tc>
              <w:tc>
                <w:tcPr>
                  <w:tcW w:w="1160" w:type="dxa"/>
                  <w:tcBorders>
                    <w:tl2br w:val="nil"/>
                    <w:tr2bl w:val="nil"/>
                  </w:tcBorders>
                  <w:vAlign w:val="center"/>
                </w:tcPr>
                <w:p w14:paraId="04574899">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55</w:t>
                  </w:r>
                </w:p>
              </w:tc>
              <w:tc>
                <w:tcPr>
                  <w:tcW w:w="815" w:type="dxa"/>
                  <w:tcBorders>
                    <w:tl2br w:val="nil"/>
                    <w:tr2bl w:val="nil"/>
                  </w:tcBorders>
                  <w:vAlign w:val="center"/>
                </w:tcPr>
                <w:p w14:paraId="03755F75">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311E3CD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jc w:val="center"/>
              </w:trPr>
              <w:tc>
                <w:tcPr>
                  <w:tcW w:w="700" w:type="dxa"/>
                  <w:vMerge w:val="continue"/>
                  <w:tcBorders>
                    <w:tl2br w:val="nil"/>
                    <w:tr2bl w:val="nil"/>
                  </w:tcBorders>
                  <w:vAlign w:val="center"/>
                </w:tcPr>
                <w:p w14:paraId="5DB13F36">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31126882">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南厂界外1米处</w:t>
                  </w:r>
                </w:p>
              </w:tc>
              <w:tc>
                <w:tcPr>
                  <w:tcW w:w="1158" w:type="dxa"/>
                  <w:tcBorders>
                    <w:tl2br w:val="nil"/>
                    <w:tr2bl w:val="nil"/>
                  </w:tcBorders>
                  <w:vAlign w:val="center"/>
                </w:tcPr>
                <w:p w14:paraId="41473E51">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58.4</w:t>
                  </w:r>
                </w:p>
              </w:tc>
              <w:tc>
                <w:tcPr>
                  <w:tcW w:w="1158" w:type="dxa"/>
                  <w:tcBorders>
                    <w:tl2br w:val="nil"/>
                    <w:tr2bl w:val="nil"/>
                  </w:tcBorders>
                  <w:vAlign w:val="center"/>
                </w:tcPr>
                <w:p w14:paraId="0601E8B1">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70</w:t>
                  </w:r>
                </w:p>
              </w:tc>
              <w:tc>
                <w:tcPr>
                  <w:tcW w:w="1158" w:type="dxa"/>
                  <w:tcBorders>
                    <w:tl2br w:val="nil"/>
                    <w:tr2bl w:val="nil"/>
                  </w:tcBorders>
                  <w:vAlign w:val="center"/>
                </w:tcPr>
                <w:p w14:paraId="0E7E2E27">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51.4</w:t>
                  </w:r>
                </w:p>
              </w:tc>
              <w:tc>
                <w:tcPr>
                  <w:tcW w:w="1160" w:type="dxa"/>
                  <w:tcBorders>
                    <w:tl2br w:val="nil"/>
                    <w:tr2bl w:val="nil"/>
                  </w:tcBorders>
                  <w:vAlign w:val="center"/>
                </w:tcPr>
                <w:p w14:paraId="7A6304D6">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55</w:t>
                  </w:r>
                </w:p>
              </w:tc>
              <w:tc>
                <w:tcPr>
                  <w:tcW w:w="815" w:type="dxa"/>
                  <w:tcBorders>
                    <w:tl2br w:val="nil"/>
                    <w:tr2bl w:val="nil"/>
                  </w:tcBorders>
                  <w:vAlign w:val="center"/>
                </w:tcPr>
                <w:p w14:paraId="44465375">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6A45736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jc w:val="center"/>
              </w:trPr>
              <w:tc>
                <w:tcPr>
                  <w:tcW w:w="700" w:type="dxa"/>
                  <w:vMerge w:val="continue"/>
                  <w:tcBorders>
                    <w:tl2br w:val="nil"/>
                    <w:tr2bl w:val="nil"/>
                  </w:tcBorders>
                  <w:vAlign w:val="center"/>
                </w:tcPr>
                <w:p w14:paraId="7DE8E4A7">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1100C82A">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西南侧厂界外1米处</w:t>
                  </w:r>
                </w:p>
              </w:tc>
              <w:tc>
                <w:tcPr>
                  <w:tcW w:w="1158" w:type="dxa"/>
                  <w:tcBorders>
                    <w:tl2br w:val="nil"/>
                    <w:tr2bl w:val="nil"/>
                  </w:tcBorders>
                  <w:vAlign w:val="center"/>
                </w:tcPr>
                <w:p w14:paraId="5BD36D1D">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56.6</w:t>
                  </w:r>
                </w:p>
              </w:tc>
              <w:tc>
                <w:tcPr>
                  <w:tcW w:w="1158" w:type="dxa"/>
                  <w:tcBorders>
                    <w:tl2br w:val="nil"/>
                    <w:tr2bl w:val="nil"/>
                  </w:tcBorders>
                  <w:vAlign w:val="center"/>
                </w:tcPr>
                <w:p w14:paraId="737D05AF">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70</w:t>
                  </w:r>
                </w:p>
              </w:tc>
              <w:tc>
                <w:tcPr>
                  <w:tcW w:w="1158" w:type="dxa"/>
                  <w:tcBorders>
                    <w:tl2br w:val="nil"/>
                    <w:tr2bl w:val="nil"/>
                  </w:tcBorders>
                  <w:vAlign w:val="center"/>
                </w:tcPr>
                <w:p w14:paraId="4E12AEF9">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52.0</w:t>
                  </w:r>
                </w:p>
              </w:tc>
              <w:tc>
                <w:tcPr>
                  <w:tcW w:w="1160" w:type="dxa"/>
                  <w:tcBorders>
                    <w:tl2br w:val="nil"/>
                    <w:tr2bl w:val="nil"/>
                  </w:tcBorders>
                  <w:vAlign w:val="center"/>
                </w:tcPr>
                <w:p w14:paraId="76E3924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55</w:t>
                  </w:r>
                </w:p>
              </w:tc>
              <w:tc>
                <w:tcPr>
                  <w:tcW w:w="815" w:type="dxa"/>
                  <w:tcBorders>
                    <w:tl2br w:val="nil"/>
                    <w:tr2bl w:val="nil"/>
                  </w:tcBorders>
                  <w:vAlign w:val="center"/>
                </w:tcPr>
                <w:p w14:paraId="56F00F5E">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59A1D43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jc w:val="center"/>
              </w:trPr>
              <w:tc>
                <w:tcPr>
                  <w:tcW w:w="700" w:type="dxa"/>
                  <w:vMerge w:val="continue"/>
                  <w:tcBorders>
                    <w:tl2br w:val="nil"/>
                    <w:tr2bl w:val="nil"/>
                  </w:tcBorders>
                  <w:vAlign w:val="center"/>
                </w:tcPr>
                <w:p w14:paraId="07173D80">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19C5893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西北侧厂界外1米处</w:t>
                  </w:r>
                </w:p>
              </w:tc>
              <w:tc>
                <w:tcPr>
                  <w:tcW w:w="1158" w:type="dxa"/>
                  <w:tcBorders>
                    <w:tl2br w:val="nil"/>
                    <w:tr2bl w:val="nil"/>
                  </w:tcBorders>
                  <w:vAlign w:val="center"/>
                </w:tcPr>
                <w:p w14:paraId="0DDFF070">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56.7</w:t>
                  </w:r>
                </w:p>
              </w:tc>
              <w:tc>
                <w:tcPr>
                  <w:tcW w:w="1158" w:type="dxa"/>
                  <w:tcBorders>
                    <w:tl2br w:val="nil"/>
                    <w:tr2bl w:val="nil"/>
                  </w:tcBorders>
                  <w:vAlign w:val="center"/>
                </w:tcPr>
                <w:p w14:paraId="03394A8C">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70</w:t>
                  </w:r>
                </w:p>
              </w:tc>
              <w:tc>
                <w:tcPr>
                  <w:tcW w:w="1158" w:type="dxa"/>
                  <w:tcBorders>
                    <w:tl2br w:val="nil"/>
                    <w:tr2bl w:val="nil"/>
                  </w:tcBorders>
                  <w:vAlign w:val="center"/>
                </w:tcPr>
                <w:p w14:paraId="582BE2DA">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52.2</w:t>
                  </w:r>
                </w:p>
              </w:tc>
              <w:tc>
                <w:tcPr>
                  <w:tcW w:w="1160" w:type="dxa"/>
                  <w:tcBorders>
                    <w:tl2br w:val="nil"/>
                    <w:tr2bl w:val="nil"/>
                  </w:tcBorders>
                  <w:vAlign w:val="center"/>
                </w:tcPr>
                <w:p w14:paraId="477B58BF">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55</w:t>
                  </w:r>
                </w:p>
              </w:tc>
              <w:tc>
                <w:tcPr>
                  <w:tcW w:w="815" w:type="dxa"/>
                  <w:tcBorders>
                    <w:tl2br w:val="nil"/>
                    <w:tr2bl w:val="nil"/>
                  </w:tcBorders>
                  <w:vAlign w:val="center"/>
                </w:tcPr>
                <w:p w14:paraId="3869C7C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6523BF27">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PrEx>
              <w:trPr>
                <w:jc w:val="center"/>
              </w:trPr>
              <w:tc>
                <w:tcPr>
                  <w:tcW w:w="700" w:type="dxa"/>
                  <w:vMerge w:val="continue"/>
                  <w:tcBorders>
                    <w:tl2br w:val="nil"/>
                    <w:tr2bl w:val="nil"/>
                  </w:tcBorders>
                  <w:vAlign w:val="center"/>
                </w:tcPr>
                <w:p w14:paraId="7825429E">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1614E18A">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西北侧厂界外1米处</w:t>
                  </w:r>
                </w:p>
              </w:tc>
              <w:tc>
                <w:tcPr>
                  <w:tcW w:w="1158" w:type="dxa"/>
                  <w:tcBorders>
                    <w:tl2br w:val="nil"/>
                    <w:tr2bl w:val="nil"/>
                  </w:tcBorders>
                  <w:vAlign w:val="center"/>
                </w:tcPr>
                <w:p w14:paraId="67F7BFF3">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58.9</w:t>
                  </w:r>
                </w:p>
              </w:tc>
              <w:tc>
                <w:tcPr>
                  <w:tcW w:w="1158" w:type="dxa"/>
                  <w:tcBorders>
                    <w:tl2br w:val="nil"/>
                    <w:tr2bl w:val="nil"/>
                  </w:tcBorders>
                  <w:vAlign w:val="center"/>
                </w:tcPr>
                <w:p w14:paraId="2FCEEDA1">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70</w:t>
                  </w:r>
                </w:p>
              </w:tc>
              <w:tc>
                <w:tcPr>
                  <w:tcW w:w="1158" w:type="dxa"/>
                  <w:tcBorders>
                    <w:tl2br w:val="nil"/>
                    <w:tr2bl w:val="nil"/>
                  </w:tcBorders>
                  <w:vAlign w:val="center"/>
                </w:tcPr>
                <w:p w14:paraId="645DCED4">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46.9</w:t>
                  </w:r>
                </w:p>
              </w:tc>
              <w:tc>
                <w:tcPr>
                  <w:tcW w:w="1160" w:type="dxa"/>
                  <w:tcBorders>
                    <w:tl2br w:val="nil"/>
                    <w:tr2bl w:val="nil"/>
                  </w:tcBorders>
                  <w:vAlign w:val="center"/>
                </w:tcPr>
                <w:p w14:paraId="4F9F190F">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50</w:t>
                  </w:r>
                </w:p>
              </w:tc>
              <w:tc>
                <w:tcPr>
                  <w:tcW w:w="815" w:type="dxa"/>
                  <w:tcBorders>
                    <w:tl2br w:val="nil"/>
                    <w:tr2bl w:val="nil"/>
                  </w:tcBorders>
                  <w:vAlign w:val="center"/>
                </w:tcPr>
                <w:p w14:paraId="47B11947">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r w14:paraId="22F0D025">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PrEx>
              <w:trPr>
                <w:jc w:val="center"/>
              </w:trPr>
              <w:tc>
                <w:tcPr>
                  <w:tcW w:w="700" w:type="dxa"/>
                  <w:vMerge w:val="continue"/>
                  <w:tcBorders>
                    <w:tl2br w:val="nil"/>
                    <w:tr2bl w:val="nil"/>
                  </w:tcBorders>
                  <w:vAlign w:val="center"/>
                </w:tcPr>
                <w:p w14:paraId="51DCAF20">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1759" w:type="dxa"/>
                  <w:tcBorders>
                    <w:tl2br w:val="nil"/>
                    <w:tr2bl w:val="nil"/>
                  </w:tcBorders>
                  <w:vAlign w:val="center"/>
                </w:tcPr>
                <w:p w14:paraId="776C0C05">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东</w:t>
                  </w:r>
                  <w:r>
                    <w:rPr>
                      <w:rFonts w:hint="default" w:ascii="Times New Roman" w:hAnsi="Times New Roman" w:eastAsia="宋体" w:cs="Times New Roman"/>
                      <w:bCs/>
                      <w:color w:val="000000" w:themeColor="text1"/>
                      <w:sz w:val="18"/>
                      <w:szCs w:val="18"/>
                      <w:highlight w:val="none"/>
                      <w14:textFill>
                        <w14:solidFill>
                          <w14:schemeClr w14:val="tx1"/>
                        </w14:solidFill>
                      </w14:textFill>
                    </w:rPr>
                    <w:t>北侧厂界外1米处</w:t>
                  </w:r>
                </w:p>
              </w:tc>
              <w:tc>
                <w:tcPr>
                  <w:tcW w:w="1158" w:type="dxa"/>
                  <w:tcBorders>
                    <w:tl2br w:val="nil"/>
                    <w:tr2bl w:val="nil"/>
                  </w:tcBorders>
                  <w:vAlign w:val="center"/>
                </w:tcPr>
                <w:p w14:paraId="2101CFD0">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58.5</w:t>
                  </w:r>
                </w:p>
              </w:tc>
              <w:tc>
                <w:tcPr>
                  <w:tcW w:w="1158" w:type="dxa"/>
                  <w:tcBorders>
                    <w:tl2br w:val="nil"/>
                    <w:tr2bl w:val="nil"/>
                  </w:tcBorders>
                  <w:vAlign w:val="center"/>
                </w:tcPr>
                <w:p w14:paraId="1C2F3BAE">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70</w:t>
                  </w:r>
                </w:p>
              </w:tc>
              <w:tc>
                <w:tcPr>
                  <w:tcW w:w="1158" w:type="dxa"/>
                  <w:tcBorders>
                    <w:tl2br w:val="nil"/>
                    <w:tr2bl w:val="nil"/>
                  </w:tcBorders>
                  <w:vAlign w:val="center"/>
                </w:tcPr>
                <w:p w14:paraId="3FEC3656">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46.8</w:t>
                  </w:r>
                </w:p>
              </w:tc>
              <w:tc>
                <w:tcPr>
                  <w:tcW w:w="1160" w:type="dxa"/>
                  <w:tcBorders>
                    <w:tl2br w:val="nil"/>
                    <w:tr2bl w:val="nil"/>
                  </w:tcBorders>
                  <w:vAlign w:val="center"/>
                </w:tcPr>
                <w:p w14:paraId="2CD04C19">
                  <w:pPr>
                    <w:jc w:val="cente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50</w:t>
                  </w:r>
                </w:p>
              </w:tc>
              <w:tc>
                <w:tcPr>
                  <w:tcW w:w="815" w:type="dxa"/>
                  <w:tcBorders>
                    <w:tl2br w:val="nil"/>
                    <w:tr2bl w:val="nil"/>
                  </w:tcBorders>
                  <w:vAlign w:val="center"/>
                </w:tcPr>
                <w:p w14:paraId="7EA78F8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达标</w:t>
                  </w:r>
                </w:p>
              </w:tc>
            </w:tr>
          </w:tbl>
          <w:p w14:paraId="6B97BA1B">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由上述数据可知，厂界噪声达到《工业企业厂界环境噪声排放标准》（GB12348-2008）表1中2a类、3类、4类标准。</w:t>
            </w:r>
          </w:p>
          <w:p w14:paraId="029B97B2">
            <w:pPr>
              <w:numPr>
                <w:ilvl w:val="0"/>
                <w:numId w:val="0"/>
              </w:numPr>
              <w:adjustRightInd w:val="0"/>
              <w:snapToGrid w:val="0"/>
              <w:spacing w:line="440" w:lineRule="exact"/>
              <w:ind w:firstLine="422" w:firstLineChars="200"/>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Cs w:val="21"/>
                <w:highlight w:val="none"/>
                <w:lang w:val="en-US" w:eastAsia="zh-CN"/>
                <w14:textFill>
                  <w14:solidFill>
                    <w14:schemeClr w14:val="tx1"/>
                  </w14:solidFill>
                </w14:textFill>
              </w:rPr>
              <w:t>④、固废</w:t>
            </w:r>
          </w:p>
          <w:p w14:paraId="26F861A4">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现有项目固废主要为污水处理污泥、废滤芯、</w:t>
            </w:r>
            <w:r>
              <w:rPr>
                <w:rFonts w:hint="eastAsia" w:cs="Times New Roman"/>
                <w:bCs/>
                <w:color w:val="000000" w:themeColor="text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、废离子交换树脂、厂区管道和设备维修过程中产生的</w:t>
            </w:r>
            <w:r>
              <w:rPr>
                <w:rFonts w:hint="eastAsia" w:cs="Times New Roman"/>
                <w:bCs/>
                <w:color w:val="000000" w:themeColor="text1"/>
                <w:szCs w:val="21"/>
                <w:highlight w:val="none"/>
                <w:lang w:val="en-US" w:eastAsia="zh-CN"/>
                <w14:textFill>
                  <w14:solidFill>
                    <w14:schemeClr w14:val="tx1"/>
                  </w14:solidFill>
                </w14:textFill>
              </w:rPr>
              <w:t>危废</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（废油桶、废漆渣、废油漆桶、废矿物油、废铅蓄电池、废硒鼓）和生活垃圾等。</w:t>
            </w:r>
          </w:p>
          <w:p w14:paraId="5BF18470">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污水处理污泥、废滤芯、</w:t>
            </w:r>
            <w:r>
              <w:rPr>
                <w:rFonts w:hint="eastAsia" w:cs="Times New Roman"/>
                <w:bCs/>
                <w:color w:val="000000" w:themeColor="text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属于一般工业固废，污水处理污泥作为本厂区的绿化用泥综合利用；废滤芯、</w:t>
            </w:r>
            <w:r>
              <w:rPr>
                <w:rFonts w:hint="eastAsia" w:cs="Times New Roman"/>
                <w:bCs/>
                <w:color w:val="000000" w:themeColor="text1"/>
                <w:szCs w:val="21"/>
                <w:highlight w:val="none"/>
                <w:lang w:val="en-US" w:eastAsia="zh-CN"/>
                <w14:textFill>
                  <w14:solidFill>
                    <w14:schemeClr w14:val="tx1"/>
                  </w14:solidFill>
                </w14:textFill>
              </w:rPr>
              <w:t>超滤及反渗透膜委外处理，即产即清，无需在厂内储存；</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离子交换树脂和设备维修过程中产生的固废（废油桶、废漆渣、废油漆桶、废矿物油、废铅蓄电池、废硒鼓）属于危废，委托有资质单位处置；生活垃圾由环卫部门清运。经过妥善处理后，实现零排放，不会对环境造成二次污染。</w:t>
            </w:r>
          </w:p>
          <w:p w14:paraId="2E007E31">
            <w:pPr>
              <w:numPr>
                <w:ilvl w:val="0"/>
                <w:numId w:val="0"/>
              </w:numPr>
              <w:adjustRightInd w:val="0"/>
              <w:snapToGrid w:val="0"/>
              <w:spacing w:line="440" w:lineRule="exact"/>
              <w:ind w:firstLine="420" w:firstLineChars="200"/>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现有工程主要污染物排放量见表2-1</w:t>
            </w:r>
            <w:r>
              <w:rPr>
                <w:rFonts w:hint="eastAsia" w:cs="Times New Roman"/>
                <w:bCs/>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w:t>
            </w:r>
          </w:p>
          <w:p w14:paraId="6D9AA426">
            <w:pPr>
              <w:pStyle w:val="28"/>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表2-1</w:t>
            </w:r>
            <w:r>
              <w:rPr>
                <w:rFonts w:hint="eastAsia" w:eastAsia="宋体"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现有工程主要污染物排放量</w:t>
            </w:r>
          </w:p>
          <w:tbl>
            <w:tblPr>
              <w:tblStyle w:val="37"/>
              <w:tblW w:w="8021"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219"/>
              <w:gridCol w:w="1033"/>
              <w:gridCol w:w="2892"/>
              <w:gridCol w:w="2877"/>
            </w:tblGrid>
            <w:tr w14:paraId="41C630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4" w:hRule="atLeast"/>
                <w:jc w:val="center"/>
              </w:trPr>
              <w:tc>
                <w:tcPr>
                  <w:tcW w:w="2252" w:type="dxa"/>
                  <w:gridSpan w:val="2"/>
                  <w:tcBorders>
                    <w:tl2br w:val="nil"/>
                    <w:tr2bl w:val="nil"/>
                  </w:tcBorders>
                  <w:noWrap w:val="0"/>
                  <w:vAlign w:val="center"/>
                </w:tcPr>
                <w:p w14:paraId="41BBE0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污染物名称</w:t>
                  </w:r>
                </w:p>
              </w:tc>
              <w:tc>
                <w:tcPr>
                  <w:tcW w:w="2892" w:type="dxa"/>
                  <w:tcBorders>
                    <w:tl2br w:val="nil"/>
                    <w:tr2bl w:val="nil"/>
                  </w:tcBorders>
                  <w:noWrap w:val="0"/>
                  <w:vAlign w:val="center"/>
                </w:tcPr>
                <w:p w14:paraId="636F1A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法定批准</w:t>
                  </w:r>
                  <w:r>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t>污染物排放量</w:t>
                  </w:r>
                  <w:r>
                    <w:rPr>
                      <w:rFonts w:hint="eastAsia" w:cs="Times New Roman"/>
                      <w:b/>
                      <w:bCs/>
                      <w:color w:val="000000" w:themeColor="text1"/>
                      <w:sz w:val="18"/>
                      <w:szCs w:val="18"/>
                      <w:highlight w:val="none"/>
                      <w:vertAlign w:val="baseline"/>
                      <w:lang w:val="en-US" w:eastAsia="zh-CN"/>
                      <w14:textFill>
                        <w14:solidFill>
                          <w14:schemeClr w14:val="tx1"/>
                        </w14:solidFill>
                      </w14:textFill>
                    </w:rPr>
                    <w:t>/接管量</w:t>
                  </w:r>
                </w:p>
                <w:p w14:paraId="0A71AC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t>(吨</w:t>
                  </w: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/年</w:t>
                  </w:r>
                  <w:r>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t>)</w:t>
                  </w:r>
                </w:p>
              </w:tc>
              <w:tc>
                <w:tcPr>
                  <w:tcW w:w="2877" w:type="dxa"/>
                  <w:tcBorders>
                    <w:tl2br w:val="nil"/>
                    <w:tr2bl w:val="nil"/>
                  </w:tcBorders>
                  <w:noWrap w:val="0"/>
                  <w:vAlign w:val="center"/>
                </w:tcPr>
                <w:p w14:paraId="0DF950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污染物实际排放量</w:t>
                  </w:r>
                  <w:r>
                    <w:rPr>
                      <w:rFonts w:hint="eastAsia" w:cs="Times New Roman"/>
                      <w:b/>
                      <w:bCs/>
                      <w:color w:val="000000" w:themeColor="text1"/>
                      <w:sz w:val="18"/>
                      <w:szCs w:val="18"/>
                      <w:highlight w:val="none"/>
                      <w:vertAlign w:val="baseline"/>
                      <w:lang w:val="en-US" w:eastAsia="zh-CN"/>
                      <w14:textFill>
                        <w14:solidFill>
                          <w14:schemeClr w14:val="tx1"/>
                        </w14:solidFill>
                      </w14:textFill>
                    </w:rPr>
                    <w:t>/接管量</w:t>
                  </w: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核算*</w:t>
                  </w:r>
                </w:p>
                <w:p w14:paraId="35A6484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t>(吨</w:t>
                  </w:r>
                  <w:r>
                    <w:rPr>
                      <w:rFonts w:hint="default" w:ascii="Times New Roman" w:hAnsi="Times New Roman" w:eastAsia="宋体" w:cs="Times New Roman"/>
                      <w:b/>
                      <w:bCs/>
                      <w:color w:val="000000" w:themeColor="text1"/>
                      <w:sz w:val="18"/>
                      <w:szCs w:val="18"/>
                      <w:highlight w:val="none"/>
                      <w:vertAlign w:val="baseline"/>
                      <w:lang w:val="en-US" w:eastAsia="zh-CN"/>
                      <w14:textFill>
                        <w14:solidFill>
                          <w14:schemeClr w14:val="tx1"/>
                        </w14:solidFill>
                      </w14:textFill>
                    </w:rPr>
                    <w:t>/年</w:t>
                  </w:r>
                  <w:r>
                    <w:rPr>
                      <w:rFonts w:hint="default" w:ascii="Times New Roman" w:hAnsi="Times New Roman" w:eastAsia="宋体" w:cs="Times New Roman"/>
                      <w:b/>
                      <w:bCs/>
                      <w:color w:val="000000" w:themeColor="text1"/>
                      <w:sz w:val="18"/>
                      <w:szCs w:val="18"/>
                      <w:highlight w:val="none"/>
                      <w:vertAlign w:val="baseline"/>
                      <w14:textFill>
                        <w14:solidFill>
                          <w14:schemeClr w14:val="tx1"/>
                        </w14:solidFill>
                      </w14:textFill>
                    </w:rPr>
                    <w:t>)</w:t>
                  </w:r>
                </w:p>
              </w:tc>
            </w:tr>
            <w:tr w14:paraId="4B27D51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restart"/>
                  <w:tcBorders>
                    <w:tl2br w:val="nil"/>
                    <w:tr2bl w:val="nil"/>
                  </w:tcBorders>
                  <w:noWrap w:val="0"/>
                  <w:vAlign w:val="center"/>
                </w:tcPr>
                <w:p w14:paraId="03F5C6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废气</w:t>
                  </w:r>
                </w:p>
              </w:tc>
              <w:tc>
                <w:tcPr>
                  <w:tcW w:w="1033" w:type="dxa"/>
                  <w:tcBorders>
                    <w:tl2br w:val="nil"/>
                    <w:tr2bl w:val="nil"/>
                  </w:tcBorders>
                  <w:noWrap w:val="0"/>
                  <w:vAlign w:val="center"/>
                </w:tcPr>
                <w:p w14:paraId="519406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颗粒物</w:t>
                  </w:r>
                </w:p>
              </w:tc>
              <w:tc>
                <w:tcPr>
                  <w:tcW w:w="2892" w:type="dxa"/>
                  <w:tcBorders>
                    <w:tl2br w:val="nil"/>
                    <w:tr2bl w:val="nil"/>
                  </w:tcBorders>
                  <w:noWrap w:val="0"/>
                  <w:vAlign w:val="center"/>
                </w:tcPr>
                <w:p w14:paraId="65965F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41.66</w:t>
                  </w:r>
                </w:p>
              </w:tc>
              <w:tc>
                <w:tcPr>
                  <w:tcW w:w="2877" w:type="dxa"/>
                  <w:tcBorders>
                    <w:tl2br w:val="nil"/>
                    <w:tr2bl w:val="nil"/>
                  </w:tcBorders>
                  <w:noWrap w:val="0"/>
                  <w:vAlign w:val="center"/>
                </w:tcPr>
                <w:p w14:paraId="386360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12.21</w:t>
                  </w:r>
                </w:p>
              </w:tc>
            </w:tr>
            <w:tr w14:paraId="1D7B23B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6441B3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p>
              </w:tc>
              <w:tc>
                <w:tcPr>
                  <w:tcW w:w="1033" w:type="dxa"/>
                  <w:tcBorders>
                    <w:tl2br w:val="nil"/>
                    <w:tr2bl w:val="nil"/>
                  </w:tcBorders>
                  <w:shd w:val="clear" w:color="auto" w:fill="auto"/>
                  <w:noWrap w:val="0"/>
                  <w:vAlign w:val="center"/>
                </w:tcPr>
                <w:p w14:paraId="5E66A8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SO</w:t>
                  </w:r>
                  <w:r>
                    <w:rPr>
                      <w:rFonts w:hint="default" w:ascii="Times New Roman" w:hAnsi="Times New Roman" w:eastAsia="宋体" w:cs="Times New Roman"/>
                      <w:color w:val="000000" w:themeColor="text1"/>
                      <w:sz w:val="18"/>
                      <w:szCs w:val="18"/>
                      <w:highlight w:val="none"/>
                      <w:vertAlign w:val="subscript"/>
                      <w:lang w:val="en-US" w:eastAsia="zh-CN"/>
                      <w14:textFill>
                        <w14:solidFill>
                          <w14:schemeClr w14:val="tx1"/>
                        </w14:solidFill>
                      </w14:textFill>
                    </w:rPr>
                    <w:t>2</w:t>
                  </w:r>
                </w:p>
              </w:tc>
              <w:tc>
                <w:tcPr>
                  <w:tcW w:w="2892" w:type="dxa"/>
                  <w:tcBorders>
                    <w:tl2br w:val="nil"/>
                    <w:tr2bl w:val="nil"/>
                  </w:tcBorders>
                  <w:shd w:val="clear" w:color="auto" w:fill="auto"/>
                  <w:noWrap w:val="0"/>
                  <w:vAlign w:val="center"/>
                </w:tcPr>
                <w:p w14:paraId="2ED2EB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185.9</w:t>
                  </w:r>
                </w:p>
              </w:tc>
              <w:tc>
                <w:tcPr>
                  <w:tcW w:w="2877" w:type="dxa"/>
                  <w:tcBorders>
                    <w:tl2br w:val="nil"/>
                    <w:tr2bl w:val="nil"/>
                  </w:tcBorders>
                  <w:noWrap w:val="0"/>
                  <w:vAlign w:val="center"/>
                </w:tcPr>
                <w:p w14:paraId="611E06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w:t>
                  </w:r>
                </w:p>
              </w:tc>
            </w:tr>
            <w:tr w14:paraId="160F417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3469ED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14:textFill>
                        <w14:solidFill>
                          <w14:schemeClr w14:val="tx1"/>
                        </w14:solidFill>
                      </w14:textFill>
                    </w:rPr>
                  </w:pPr>
                </w:p>
              </w:tc>
              <w:tc>
                <w:tcPr>
                  <w:tcW w:w="1033" w:type="dxa"/>
                  <w:tcBorders>
                    <w:tl2br w:val="nil"/>
                    <w:tr2bl w:val="nil"/>
                  </w:tcBorders>
                  <w:noWrap w:val="0"/>
                  <w:vAlign w:val="center"/>
                </w:tcPr>
                <w:p w14:paraId="2EB3F9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NOx</w:t>
                  </w:r>
                </w:p>
              </w:tc>
              <w:tc>
                <w:tcPr>
                  <w:tcW w:w="2892" w:type="dxa"/>
                  <w:tcBorders>
                    <w:tl2br w:val="nil"/>
                    <w:tr2bl w:val="nil"/>
                  </w:tcBorders>
                  <w:noWrap w:val="0"/>
                  <w:vAlign w:val="center"/>
                </w:tcPr>
                <w:p w14:paraId="65BF7F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357.08</w:t>
                  </w:r>
                </w:p>
              </w:tc>
              <w:tc>
                <w:tcPr>
                  <w:tcW w:w="2877" w:type="dxa"/>
                  <w:tcBorders>
                    <w:tl2br w:val="nil"/>
                    <w:tr2bl w:val="nil"/>
                  </w:tcBorders>
                  <w:noWrap w:val="0"/>
                  <w:vAlign w:val="center"/>
                </w:tcPr>
                <w:p w14:paraId="5F272D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148.91</w:t>
                  </w:r>
                </w:p>
              </w:tc>
            </w:tr>
            <w:tr w14:paraId="5915DF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restart"/>
                  <w:tcBorders>
                    <w:tl2br w:val="nil"/>
                    <w:tr2bl w:val="nil"/>
                  </w:tcBorders>
                  <w:noWrap w:val="0"/>
                  <w:vAlign w:val="center"/>
                </w:tcPr>
                <w:p w14:paraId="617827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废水</w:t>
                  </w:r>
                </w:p>
                <w:p w14:paraId="6499B5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(接管量)</w:t>
                  </w:r>
                </w:p>
              </w:tc>
              <w:tc>
                <w:tcPr>
                  <w:tcW w:w="1033" w:type="dxa"/>
                  <w:tcBorders>
                    <w:tl2br w:val="nil"/>
                    <w:tr2bl w:val="nil"/>
                  </w:tcBorders>
                  <w:shd w:val="clear" w:color="auto" w:fill="auto"/>
                  <w:noWrap w:val="0"/>
                  <w:vAlign w:val="center"/>
                </w:tcPr>
                <w:p w14:paraId="6A086A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COD</w:t>
                  </w:r>
                </w:p>
              </w:tc>
              <w:tc>
                <w:tcPr>
                  <w:tcW w:w="2892" w:type="dxa"/>
                  <w:tcBorders>
                    <w:tl2br w:val="nil"/>
                    <w:tr2bl w:val="nil"/>
                  </w:tcBorders>
                  <w:shd w:val="clear" w:color="auto" w:fill="auto"/>
                  <w:noWrap w:val="0"/>
                  <w:vAlign w:val="center"/>
                </w:tcPr>
                <w:p w14:paraId="2CE887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15.9</w:t>
                  </w:r>
                </w:p>
              </w:tc>
              <w:tc>
                <w:tcPr>
                  <w:tcW w:w="2877" w:type="dxa"/>
                  <w:tcBorders>
                    <w:tl2br w:val="nil"/>
                    <w:tr2bl w:val="nil"/>
                  </w:tcBorders>
                  <w:shd w:val="clear" w:color="auto" w:fill="auto"/>
                  <w:noWrap w:val="0"/>
                  <w:vAlign w:val="center"/>
                </w:tcPr>
                <w:p w14:paraId="259277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kern w:val="2"/>
                      <w:sz w:val="18"/>
                      <w:szCs w:val="18"/>
                      <w:highlight w:val="none"/>
                      <w:vertAlign w:val="baseline"/>
                      <w:lang w:val="en-US" w:eastAsia="zh-CN" w:bidi="ar-SA"/>
                      <w14:textFill>
                        <w14:solidFill>
                          <w14:schemeClr w14:val="tx1"/>
                        </w14:solidFill>
                      </w14:textFill>
                    </w:rPr>
                    <w:t>15.8</w:t>
                  </w:r>
                </w:p>
              </w:tc>
            </w:tr>
            <w:tr w14:paraId="2C85EEB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323F2F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p>
              </w:tc>
              <w:tc>
                <w:tcPr>
                  <w:tcW w:w="1033" w:type="dxa"/>
                  <w:tcBorders>
                    <w:tl2br w:val="nil"/>
                    <w:tr2bl w:val="nil"/>
                  </w:tcBorders>
                  <w:shd w:val="clear" w:color="auto" w:fill="auto"/>
                  <w:noWrap w:val="0"/>
                  <w:vAlign w:val="center"/>
                </w:tcPr>
                <w:p w14:paraId="57A35C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SS</w:t>
                  </w:r>
                </w:p>
              </w:tc>
              <w:tc>
                <w:tcPr>
                  <w:tcW w:w="2892" w:type="dxa"/>
                  <w:tcBorders>
                    <w:tl2br w:val="nil"/>
                    <w:tr2bl w:val="nil"/>
                  </w:tcBorders>
                  <w:shd w:val="clear" w:color="auto" w:fill="auto"/>
                  <w:noWrap w:val="0"/>
                  <w:vAlign w:val="center"/>
                </w:tcPr>
                <w:p w14:paraId="1169B0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12.7</w:t>
                  </w:r>
                </w:p>
              </w:tc>
              <w:tc>
                <w:tcPr>
                  <w:tcW w:w="2877" w:type="dxa"/>
                  <w:tcBorders>
                    <w:tl2br w:val="nil"/>
                    <w:tr2bl w:val="nil"/>
                  </w:tcBorders>
                  <w:shd w:val="clear" w:color="auto" w:fill="auto"/>
                  <w:noWrap w:val="0"/>
                  <w:vAlign w:val="center"/>
                </w:tcPr>
                <w:p w14:paraId="0A0D4D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kern w:val="2"/>
                      <w:sz w:val="18"/>
                      <w:szCs w:val="18"/>
                      <w:highlight w:val="none"/>
                      <w:vertAlign w:val="baseline"/>
                      <w:lang w:val="en-US" w:eastAsia="zh-CN" w:bidi="ar-SA"/>
                      <w14:textFill>
                        <w14:solidFill>
                          <w14:schemeClr w14:val="tx1"/>
                        </w14:solidFill>
                      </w14:textFill>
                    </w:rPr>
                    <w:t>12.4</w:t>
                  </w:r>
                </w:p>
              </w:tc>
            </w:tr>
            <w:tr w14:paraId="2875593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1314B8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14:textFill>
                        <w14:solidFill>
                          <w14:schemeClr w14:val="tx1"/>
                        </w14:solidFill>
                      </w14:textFill>
                    </w:rPr>
                  </w:pPr>
                </w:p>
              </w:tc>
              <w:tc>
                <w:tcPr>
                  <w:tcW w:w="1033" w:type="dxa"/>
                  <w:tcBorders>
                    <w:tl2br w:val="nil"/>
                    <w:tr2bl w:val="nil"/>
                  </w:tcBorders>
                  <w:shd w:val="clear" w:color="auto" w:fill="auto"/>
                  <w:noWrap w:val="0"/>
                  <w:vAlign w:val="center"/>
                </w:tcPr>
                <w:p w14:paraId="1D28AE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NH</w:t>
                  </w:r>
                  <w:r>
                    <w:rPr>
                      <w:rFonts w:hint="default" w:ascii="Times New Roman" w:hAnsi="Times New Roman" w:eastAsia="宋体" w:cs="Times New Roman"/>
                      <w:color w:val="000000" w:themeColor="text1"/>
                      <w:sz w:val="18"/>
                      <w:szCs w:val="18"/>
                      <w:highlight w:val="none"/>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-N</w:t>
                  </w:r>
                </w:p>
              </w:tc>
              <w:tc>
                <w:tcPr>
                  <w:tcW w:w="2892" w:type="dxa"/>
                  <w:tcBorders>
                    <w:tl2br w:val="nil"/>
                    <w:tr2bl w:val="nil"/>
                  </w:tcBorders>
                  <w:shd w:val="clear" w:color="auto" w:fill="auto"/>
                  <w:noWrap w:val="0"/>
                  <w:vAlign w:val="center"/>
                </w:tcPr>
                <w:p w14:paraId="57A266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1.11</w:t>
                  </w:r>
                </w:p>
              </w:tc>
              <w:tc>
                <w:tcPr>
                  <w:tcW w:w="2877" w:type="dxa"/>
                  <w:tcBorders>
                    <w:tl2br w:val="nil"/>
                    <w:tr2bl w:val="nil"/>
                  </w:tcBorders>
                  <w:shd w:val="clear" w:color="auto" w:fill="auto"/>
                  <w:noWrap w:val="0"/>
                  <w:vAlign w:val="center"/>
                </w:tcPr>
                <w:p w14:paraId="4E944A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kern w:val="2"/>
                      <w:sz w:val="18"/>
                      <w:szCs w:val="18"/>
                      <w:highlight w:val="none"/>
                      <w:vertAlign w:val="baseline"/>
                      <w:lang w:val="en-US" w:eastAsia="zh-CN" w:bidi="ar-SA"/>
                      <w14:textFill>
                        <w14:solidFill>
                          <w14:schemeClr w14:val="tx1"/>
                        </w14:solidFill>
                      </w14:textFill>
                    </w:rPr>
                    <w:t>0.21</w:t>
                  </w:r>
                </w:p>
              </w:tc>
            </w:tr>
            <w:tr w14:paraId="7916C0E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068319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14:textFill>
                        <w14:solidFill>
                          <w14:schemeClr w14:val="tx1"/>
                        </w14:solidFill>
                      </w14:textFill>
                    </w:rPr>
                  </w:pPr>
                </w:p>
              </w:tc>
              <w:tc>
                <w:tcPr>
                  <w:tcW w:w="1033" w:type="dxa"/>
                  <w:tcBorders>
                    <w:tl2br w:val="nil"/>
                    <w:tr2bl w:val="nil"/>
                  </w:tcBorders>
                  <w:shd w:val="clear" w:color="auto" w:fill="auto"/>
                  <w:noWrap w:val="0"/>
                  <w:vAlign w:val="center"/>
                </w:tcPr>
                <w:p w14:paraId="19982B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t>TP</w:t>
                  </w:r>
                </w:p>
              </w:tc>
              <w:tc>
                <w:tcPr>
                  <w:tcW w:w="2892" w:type="dxa"/>
                  <w:tcBorders>
                    <w:tl2br w:val="nil"/>
                    <w:tr2bl w:val="nil"/>
                  </w:tcBorders>
                  <w:shd w:val="clear" w:color="auto" w:fill="auto"/>
                  <w:noWrap w:val="0"/>
                  <w:vAlign w:val="center"/>
                </w:tcPr>
                <w:p w14:paraId="56CB97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0.13</w:t>
                  </w:r>
                </w:p>
              </w:tc>
              <w:tc>
                <w:tcPr>
                  <w:tcW w:w="2877" w:type="dxa"/>
                  <w:tcBorders>
                    <w:tl2br w:val="nil"/>
                    <w:tr2bl w:val="nil"/>
                  </w:tcBorders>
                  <w:shd w:val="clear" w:color="auto" w:fill="auto"/>
                  <w:noWrap w:val="0"/>
                  <w:vAlign w:val="center"/>
                </w:tcPr>
                <w:p w14:paraId="738A72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color w:val="000000" w:themeColor="text1"/>
                      <w:kern w:val="2"/>
                      <w:sz w:val="18"/>
                      <w:szCs w:val="18"/>
                      <w:highlight w:val="none"/>
                      <w:vertAlign w:val="baseline"/>
                      <w:lang w:val="en-US" w:eastAsia="zh-CN" w:bidi="ar-SA"/>
                      <w14:textFill>
                        <w14:solidFill>
                          <w14:schemeClr w14:val="tx1"/>
                        </w14:solidFill>
                      </w14:textFill>
                    </w:rPr>
                    <w:t>0.03</w:t>
                  </w:r>
                </w:p>
              </w:tc>
            </w:tr>
            <w:tr w14:paraId="4D4B0F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219" w:type="dxa"/>
                  <w:vMerge w:val="continue"/>
                  <w:tcBorders>
                    <w:tl2br w:val="nil"/>
                    <w:tr2bl w:val="nil"/>
                  </w:tcBorders>
                  <w:noWrap w:val="0"/>
                  <w:vAlign w:val="center"/>
                </w:tcPr>
                <w:p w14:paraId="60B2F3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14:textFill>
                        <w14:solidFill>
                          <w14:schemeClr w14:val="tx1"/>
                        </w14:solidFill>
                      </w14:textFill>
                    </w:rPr>
                  </w:pPr>
                </w:p>
              </w:tc>
              <w:tc>
                <w:tcPr>
                  <w:tcW w:w="1033" w:type="dxa"/>
                  <w:tcBorders>
                    <w:tl2br w:val="nil"/>
                    <w:tr2bl w:val="nil"/>
                  </w:tcBorders>
                  <w:shd w:val="clear" w:color="auto" w:fill="auto"/>
                  <w:noWrap w:val="0"/>
                  <w:vAlign w:val="center"/>
                </w:tcPr>
                <w:p w14:paraId="53F443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TN</w:t>
                  </w:r>
                </w:p>
              </w:tc>
              <w:tc>
                <w:tcPr>
                  <w:tcW w:w="2892" w:type="dxa"/>
                  <w:tcBorders>
                    <w:tl2br w:val="nil"/>
                    <w:tr2bl w:val="nil"/>
                  </w:tcBorders>
                  <w:shd w:val="clear" w:color="auto" w:fill="auto"/>
                  <w:noWrap w:val="0"/>
                  <w:vAlign w:val="center"/>
                </w:tcPr>
                <w:p w14:paraId="53803E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000000" w:themeColor="text1"/>
                      <w:sz w:val="18"/>
                      <w:szCs w:val="18"/>
                      <w:highlight w:val="none"/>
                      <w:vertAlign w:val="baseli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0.48</w:t>
                  </w:r>
                </w:p>
              </w:tc>
              <w:tc>
                <w:tcPr>
                  <w:tcW w:w="2877" w:type="dxa"/>
                  <w:tcBorders>
                    <w:tl2br w:val="nil"/>
                    <w:tr2bl w:val="nil"/>
                  </w:tcBorders>
                  <w:shd w:val="clear" w:color="auto" w:fill="auto"/>
                  <w:noWrap w:val="0"/>
                  <w:vAlign w:val="center"/>
                </w:tcPr>
                <w:p w14:paraId="2348A7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vertAlign w:val="baseli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0.33</w:t>
                  </w:r>
                </w:p>
              </w:tc>
            </w:tr>
          </w:tbl>
          <w:p w14:paraId="208BCA1A">
            <w:pPr>
              <w:numPr>
                <w:ilvl w:val="0"/>
                <w:numId w:val="0"/>
              </w:numPr>
              <w:adjustRightInd w:val="0"/>
              <w:snapToGrid w:val="0"/>
              <w:spacing w:line="440" w:lineRule="exact"/>
              <w:ind w:firstLine="361" w:firstLineChars="200"/>
              <w:rPr>
                <w:rFonts w:hint="eastAsia" w:cs="Times New Roman"/>
                <w:b/>
                <w:bCs w:val="0"/>
                <w:color w:val="000000" w:themeColor="text1"/>
                <w:sz w:val="18"/>
                <w:szCs w:val="18"/>
                <w:highlight w:val="none"/>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18"/>
                <w:szCs w:val="18"/>
                <w:highlight w:val="none"/>
                <w:lang w:val="en-US" w:eastAsia="zh-CN"/>
                <w14:textFill>
                  <w14:solidFill>
                    <w14:schemeClr w14:val="tx1"/>
                  </w14:solidFill>
                </w14:textFill>
              </w:rPr>
              <w:t>备注：*</w:t>
            </w:r>
            <w:r>
              <w:rPr>
                <w:rFonts w:hint="eastAsia" w:cs="Times New Roman"/>
                <w:b/>
                <w:bCs w:val="0"/>
                <w:color w:val="000000" w:themeColor="text1"/>
                <w:sz w:val="18"/>
                <w:szCs w:val="18"/>
                <w:highlight w:val="none"/>
                <w:lang w:val="en-US" w:eastAsia="zh-CN"/>
                <w14:textFill>
                  <w14:solidFill>
                    <w14:schemeClr w14:val="tx1"/>
                  </w14:solidFill>
                </w14:textFill>
              </w:rPr>
              <w:t>废气</w:t>
            </w:r>
            <w:r>
              <w:rPr>
                <w:rFonts w:hint="default" w:ascii="Times New Roman" w:hAnsi="Times New Roman" w:eastAsia="宋体" w:cs="Times New Roman"/>
                <w:b/>
                <w:bCs w:val="0"/>
                <w:color w:val="000000" w:themeColor="text1"/>
                <w:sz w:val="18"/>
                <w:szCs w:val="18"/>
                <w:highlight w:val="none"/>
                <w:lang w:val="en-US" w:eastAsia="zh-CN"/>
                <w14:textFill>
                  <w14:solidFill>
                    <w14:schemeClr w14:val="tx1"/>
                  </w14:solidFill>
                </w14:textFill>
              </w:rPr>
              <w:t>污染物实际排放量根据企业自行监测数据</w:t>
            </w:r>
            <w:r>
              <w:rPr>
                <w:rFonts w:hint="eastAsia" w:cs="Times New Roman"/>
                <w:b/>
                <w:bCs w:val="0"/>
                <w:color w:val="000000" w:themeColor="text1"/>
                <w:sz w:val="18"/>
                <w:szCs w:val="18"/>
                <w:highlight w:val="none"/>
                <w:lang w:val="en-US" w:eastAsia="zh-CN"/>
                <w14:textFill>
                  <w14:solidFill>
                    <w14:schemeClr w14:val="tx1"/>
                  </w14:solidFill>
                </w14:textFill>
              </w:rPr>
              <w:t>进行核算，废水接管量根据生产废水排放口企业自行监测数据及企业生活污水实际排放情况</w:t>
            </w:r>
            <w:r>
              <w:rPr>
                <w:rFonts w:hint="default" w:ascii="Times New Roman" w:hAnsi="Times New Roman" w:eastAsia="宋体" w:cs="Times New Roman"/>
                <w:b/>
                <w:bCs w:val="0"/>
                <w:color w:val="000000" w:themeColor="text1"/>
                <w:sz w:val="18"/>
                <w:szCs w:val="18"/>
                <w:highlight w:val="none"/>
                <w:lang w:val="en-US" w:eastAsia="zh-CN"/>
                <w14:textFill>
                  <w14:solidFill>
                    <w14:schemeClr w14:val="tx1"/>
                  </w14:solidFill>
                </w14:textFill>
              </w:rPr>
              <w:t>等进行核算。</w:t>
            </w:r>
            <w:r>
              <w:rPr>
                <w:rFonts w:hint="eastAsia" w:cs="Times New Roman"/>
                <w:b/>
                <w:bCs w:val="0"/>
                <w:color w:val="000000" w:themeColor="text1"/>
                <w:sz w:val="18"/>
                <w:szCs w:val="18"/>
                <w:highlight w:val="none"/>
                <w:lang w:val="en-US" w:eastAsia="zh-CN"/>
                <w14:textFill>
                  <w14:solidFill>
                    <w14:schemeClr w14:val="tx1"/>
                  </w14:solidFill>
                </w14:textFill>
              </w:rPr>
              <w:t>其中</w:t>
            </w:r>
            <w:r>
              <w:rPr>
                <w:rFonts w:hint="default" w:ascii="Times New Roman" w:hAnsi="Times New Roman" w:eastAsia="宋体" w:cs="Times New Roman"/>
                <w:b/>
                <w:bCs w:val="0"/>
                <w:color w:val="000000" w:themeColor="text1"/>
                <w:sz w:val="18"/>
                <w:szCs w:val="18"/>
                <w:highlight w:val="none"/>
                <w:vertAlign w:val="baseline"/>
                <w:lang w:val="en-US" w:eastAsia="zh-CN"/>
                <w14:textFill>
                  <w14:solidFill>
                    <w14:schemeClr w14:val="tx1"/>
                  </w14:solidFill>
                </w14:textFill>
              </w:rPr>
              <w:t>SO</w:t>
            </w:r>
            <w:r>
              <w:rPr>
                <w:rFonts w:hint="default" w:ascii="Times New Roman" w:hAnsi="Times New Roman" w:eastAsia="宋体" w:cs="Times New Roman"/>
                <w:b/>
                <w:bCs w:val="0"/>
                <w:color w:val="000000" w:themeColor="text1"/>
                <w:sz w:val="18"/>
                <w:szCs w:val="18"/>
                <w:highlight w:val="none"/>
                <w:vertAlign w:val="subscript"/>
                <w:lang w:val="en-US" w:eastAsia="zh-CN"/>
                <w14:textFill>
                  <w14:solidFill>
                    <w14:schemeClr w14:val="tx1"/>
                  </w14:solidFill>
                </w14:textFill>
              </w:rPr>
              <w:t>2</w:t>
            </w:r>
            <w:r>
              <w:rPr>
                <w:rFonts w:hint="eastAsia" w:cs="Times New Roman"/>
                <w:b/>
                <w:bCs w:val="0"/>
                <w:color w:val="000000" w:themeColor="text1"/>
                <w:sz w:val="18"/>
                <w:szCs w:val="18"/>
                <w:highlight w:val="none"/>
                <w:vertAlign w:val="baseline"/>
                <w:lang w:val="en-US" w:eastAsia="zh-CN"/>
                <w14:textFill>
                  <w14:solidFill>
                    <w14:schemeClr w14:val="tx1"/>
                  </w14:solidFill>
                </w14:textFill>
              </w:rPr>
              <w:t>因未检出，故未核算实际排放量。</w:t>
            </w:r>
          </w:p>
          <w:p w14:paraId="7798D0F0">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000000" w:themeColor="text1"/>
                <w:sz w:val="24"/>
                <w:szCs w:val="44"/>
                <w:highlight w:val="none"/>
                <w14:textFill>
                  <w14:solidFill>
                    <w14:schemeClr w14:val="tx1"/>
                  </w14:solidFill>
                </w14:textFill>
              </w:rPr>
            </w:pPr>
            <w:r>
              <w:rPr>
                <w:rFonts w:hint="default" w:ascii="Times New Roman" w:hAnsi="Times New Roman" w:eastAsia="宋体" w:cs="Times New Roman"/>
                <w:b/>
                <w:bCs/>
                <w:color w:val="000000" w:themeColor="text1"/>
                <w:sz w:val="24"/>
                <w:szCs w:val="44"/>
                <w:highlight w:val="none"/>
                <w14:textFill>
                  <w14:solidFill>
                    <w14:schemeClr w14:val="tx1"/>
                  </w14:solidFill>
                </w14:textFill>
              </w:rPr>
              <w:t xml:space="preserve"> </w:t>
            </w:r>
            <w:r>
              <w:rPr>
                <w:rFonts w:hint="eastAsia" w:cs="Times New Roman"/>
                <w:b/>
                <w:bCs/>
                <w:color w:val="000000" w:themeColor="text1"/>
                <w:sz w:val="24"/>
                <w:szCs w:val="44"/>
                <w:highlight w:val="none"/>
                <w:lang w:eastAsia="zh-CN"/>
                <w14:textFill>
                  <w14:solidFill>
                    <w14:schemeClr w14:val="tx1"/>
                  </w14:solidFill>
                </w14:textFill>
              </w:rPr>
              <w:t>（</w:t>
            </w:r>
            <w:r>
              <w:rPr>
                <w:rFonts w:hint="eastAsia" w:cs="Times New Roman"/>
                <w:b/>
                <w:bCs/>
                <w:color w:val="000000" w:themeColor="text1"/>
                <w:sz w:val="24"/>
                <w:szCs w:val="44"/>
                <w:highlight w:val="none"/>
                <w:lang w:val="en-US" w:eastAsia="zh-CN"/>
                <w14:textFill>
                  <w14:solidFill>
                    <w14:schemeClr w14:val="tx1"/>
                  </w14:solidFill>
                </w14:textFill>
              </w:rPr>
              <w:t>四</w:t>
            </w:r>
            <w:r>
              <w:rPr>
                <w:rFonts w:hint="eastAsia" w:cs="Times New Roman"/>
                <w:b/>
                <w:bCs/>
                <w:color w:val="000000" w:themeColor="text1"/>
                <w:sz w:val="24"/>
                <w:szCs w:val="44"/>
                <w:highlight w:val="none"/>
                <w:lang w:eastAsia="zh-CN"/>
                <w14:textFill>
                  <w14:solidFill>
                    <w14:schemeClr w14:val="tx1"/>
                  </w14:solidFill>
                </w14:textFill>
              </w:rPr>
              <w:t>）</w:t>
            </w:r>
            <w:r>
              <w:rPr>
                <w:rFonts w:hint="default" w:ascii="Times New Roman" w:hAnsi="Times New Roman" w:eastAsia="宋体" w:cs="Times New Roman"/>
                <w:b/>
                <w:bCs/>
                <w:color w:val="000000" w:themeColor="text1"/>
                <w:sz w:val="24"/>
                <w:szCs w:val="44"/>
                <w:highlight w:val="none"/>
                <w14:textFill>
                  <w14:solidFill>
                    <w14:schemeClr w14:val="tx1"/>
                  </w14:solidFill>
                </w14:textFill>
              </w:rPr>
              <w:t>现有项目主要环境问题及整改措施</w:t>
            </w:r>
          </w:p>
          <w:p w14:paraId="0D207AD3">
            <w:pPr>
              <w:pStyle w:val="45"/>
              <w:spacing w:line="460" w:lineRule="exact"/>
              <w:ind w:firstLine="422" w:firstLineChars="200"/>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企业建设至今运行正常，</w:t>
            </w:r>
            <w:r>
              <w:rPr>
                <w:rFonts w:hint="eastAsia" w:cs="Times New Roman"/>
                <w:color w:val="000000" w:themeColor="text1"/>
                <w:sz w:val="21"/>
                <w:szCs w:val="21"/>
                <w:highlight w:val="none"/>
                <w:lang w:val="en-US" w:eastAsia="zh-CN"/>
                <w14:textFill>
                  <w14:solidFill>
                    <w14:schemeClr w14:val="tx1"/>
                  </w14:solidFill>
                </w14:textFill>
              </w:rPr>
              <w:t>污染物达标排放，</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无环保投诉等问题。</w:t>
            </w:r>
          </w:p>
          <w:p w14:paraId="1F03D44D">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765ECC0">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5E2E48C5">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6D62C62">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6934AD47">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CC3FF6B">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E67CCF9">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D7288C6">
            <w:pPr>
              <w:pStyle w:val="28"/>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0F41EF2">
            <w:pPr>
              <w:pStyle w:val="28"/>
              <w:spacing w:line="400" w:lineRule="exact"/>
              <w:ind w:firstLine="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7DBDF2ED">
            <w:pPr>
              <w:pStyle w:val="28"/>
              <w:spacing w:line="400" w:lineRule="exact"/>
              <w:ind w:firstLine="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7688910E">
            <w:pPr>
              <w:pStyle w:val="28"/>
              <w:spacing w:line="400" w:lineRule="exact"/>
              <w:ind w:firstLine="0"/>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73E9693">
            <w:pPr>
              <w:pStyle w:val="28"/>
              <w:spacing w:line="400" w:lineRule="exact"/>
              <w:ind w:firstLine="0"/>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bl>
    <w:p w14:paraId="444DA555">
      <w:pPr>
        <w:pStyle w:val="33"/>
        <w:jc w:val="both"/>
        <w:rPr>
          <w:rFonts w:hint="default" w:ascii="Times New Roman" w:hAnsi="Times New Roman" w:eastAsia="宋体" w:cs="Times New Roman"/>
          <w:snapToGrid w:val="0"/>
          <w:color w:val="000000" w:themeColor="text1"/>
          <w:sz w:val="36"/>
          <w:szCs w:val="36"/>
          <w:highlight w:val="none"/>
          <w14:textFill>
            <w14:solidFill>
              <w14:schemeClr w14:val="tx1"/>
            </w14:solidFill>
          </w14:textFill>
        </w:rPr>
      </w:pPr>
    </w:p>
    <w:p w14:paraId="00069699">
      <w:pPr>
        <w:pStyle w:val="33"/>
        <w:jc w:val="center"/>
        <w:rPr>
          <w:rFonts w:hint="default" w:ascii="Times New Roman" w:hAnsi="Times New Roman" w:eastAsia="宋体" w:cs="Times New Roman"/>
          <w:snapToGrid w:val="0"/>
          <w:color w:val="000000" w:themeColor="text1"/>
          <w:sz w:val="36"/>
          <w:szCs w:val="36"/>
          <w:highlight w:val="none"/>
          <w14:textFill>
            <w14:solidFill>
              <w14:schemeClr w14:val="tx1"/>
            </w14:solidFill>
          </w14:textFill>
        </w:rPr>
      </w:pPr>
    </w:p>
    <w:p w14:paraId="2C8B26C2">
      <w:pPr>
        <w:pStyle w:val="33"/>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三、区域环境质量现状、环境保护目标及评价标准</w:t>
      </w:r>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8454"/>
      </w:tblGrid>
      <w:tr w14:paraId="3A3FA4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40" w:type="dxa"/>
            <w:vAlign w:val="center"/>
          </w:tcPr>
          <w:p w14:paraId="7689D5F8">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区域</w:t>
            </w:r>
          </w:p>
          <w:p w14:paraId="22AD1EC0">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环境</w:t>
            </w:r>
          </w:p>
          <w:p w14:paraId="7A0D6300">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质量</w:t>
            </w:r>
          </w:p>
          <w:p w14:paraId="340F943F">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现状</w:t>
            </w:r>
          </w:p>
        </w:tc>
        <w:tc>
          <w:tcPr>
            <w:tcW w:w="8350" w:type="dxa"/>
            <w:vAlign w:val="center"/>
          </w:tcPr>
          <w:p w14:paraId="5DCE56D5">
            <w:pPr>
              <w:adjustRightInd w:val="0"/>
              <w:snapToGrid w:val="0"/>
              <w:spacing w:line="440" w:lineRule="exact"/>
              <w:jc w:val="left"/>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1、大气环境质量现状</w:t>
            </w:r>
          </w:p>
          <w:p w14:paraId="3566D9D4">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根据《建设项目环境影响报告表编制技术指南》（污染影响类）（试行）的要求，本期项目大气环境现状采用《</w:t>
            </w:r>
            <w:r>
              <w:rPr>
                <w:rFonts w:hint="eastAsia" w:cs="Times New Roman"/>
                <w:color w:val="000000" w:themeColor="text1"/>
                <w:szCs w:val="21"/>
                <w:highlight w:val="none"/>
                <w:lang w:eastAsia="zh-CN"/>
                <w14:textFill>
                  <w14:solidFill>
                    <w14:schemeClr w14:val="tx1"/>
                  </w14:solidFill>
                </w14:textFill>
              </w:rPr>
              <w:t>2024年度苏州市生态环境状况公报</w:t>
            </w:r>
            <w:r>
              <w:rPr>
                <w:rFonts w:hint="default" w:ascii="Times New Roman" w:hAnsi="Times New Roman" w:eastAsia="宋体" w:cs="Times New Roman"/>
                <w:color w:val="000000" w:themeColor="text1"/>
                <w:szCs w:val="21"/>
                <w:highlight w:val="none"/>
                <w14:textFill>
                  <w14:solidFill>
                    <w14:schemeClr w14:val="tx1"/>
                  </w14:solidFill>
                </w14:textFill>
              </w:rPr>
              <w:t>》数据。</w:t>
            </w:r>
          </w:p>
          <w:p w14:paraId="0ACD97B8">
            <w:pPr>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根据《</w:t>
            </w:r>
            <w:r>
              <w:rPr>
                <w:rFonts w:hint="eastAsia" w:cs="Times New Roman"/>
                <w:color w:val="000000" w:themeColor="text1"/>
                <w:szCs w:val="21"/>
                <w:highlight w:val="none"/>
                <w:lang w:eastAsia="zh-CN"/>
                <w14:textFill>
                  <w14:solidFill>
                    <w14:schemeClr w14:val="tx1"/>
                  </w14:solidFill>
                </w14:textFill>
              </w:rPr>
              <w:t>2024年度苏州市生态环境状况公报</w:t>
            </w:r>
            <w:r>
              <w:rPr>
                <w:rFonts w:hint="default" w:ascii="Times New Roman" w:hAnsi="Times New Roman" w:eastAsia="宋体" w:cs="Times New Roman"/>
                <w:color w:val="000000" w:themeColor="text1"/>
                <w:szCs w:val="21"/>
                <w:highlight w:val="none"/>
                <w14:textFill>
                  <w14:solidFill>
                    <w14:schemeClr w14:val="tx1"/>
                  </w14:solidFill>
                </w14:textFill>
              </w:rPr>
              <w:t>》，</w:t>
            </w:r>
            <w:bookmarkStart w:id="2" w:name="_Hlk176443339"/>
            <w:r>
              <w:rPr>
                <w:rFonts w:hint="eastAsia" w:ascii="Times New Roman" w:hAnsi="Times New Roman" w:eastAsia="宋体" w:cs="Times New Roman"/>
                <w:color w:val="000000" w:themeColor="text1"/>
                <w:szCs w:val="21"/>
                <w:highlight w:val="none"/>
                <w:lang w:eastAsia="zh-CN"/>
                <w14:textFill>
                  <w14:solidFill>
                    <w14:schemeClr w14:val="tx1"/>
                  </w14:solidFill>
                </w14:textFill>
              </w:rPr>
              <w:t>2024年苏州市</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全市</w:t>
            </w:r>
            <w:r>
              <w:rPr>
                <w:rFonts w:hint="default" w:ascii="Times New Roman" w:hAnsi="Times New Roman" w:eastAsia="宋体" w:cs="Times New Roman"/>
                <w:color w:val="000000" w:themeColor="text1"/>
                <w:szCs w:val="21"/>
                <w:highlight w:val="none"/>
                <w14:textFill>
                  <w14:solidFill>
                    <w14:schemeClr w14:val="tx1"/>
                  </w14:solidFill>
                </w14:textFill>
              </w:rPr>
              <w:t>环境空气中细颗粒物（PM</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2.5</w:t>
            </w:r>
            <w:r>
              <w:rPr>
                <w:rFonts w:hint="default" w:ascii="Times New Roman" w:hAnsi="Times New Roman" w:eastAsia="宋体" w:cs="Times New Roman"/>
                <w:color w:val="000000" w:themeColor="text1"/>
                <w:szCs w:val="21"/>
                <w:highlight w:val="none"/>
                <w14:textFill>
                  <w14:solidFill>
                    <w14:schemeClr w14:val="tx1"/>
                  </w14:solidFill>
                </w14:textFill>
              </w:rPr>
              <w:t>）、可吸入颗粒物（PM</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10</w:t>
            </w:r>
            <w:r>
              <w:rPr>
                <w:rFonts w:hint="default" w:ascii="Times New Roman" w:hAnsi="Times New Roman" w:eastAsia="宋体" w:cs="Times New Roman"/>
                <w:color w:val="000000" w:themeColor="text1"/>
                <w:szCs w:val="21"/>
                <w:highlight w:val="none"/>
                <w14:textFill>
                  <w14:solidFill>
                    <w14:schemeClr w14:val="tx1"/>
                  </w14:solidFill>
                </w14:textFill>
              </w:rPr>
              <w:t>）、二氧化硫（SO</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）、二氧化氮（NO</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）年均浓度分别为</w:t>
            </w:r>
            <w:r>
              <w:rPr>
                <w:rFonts w:hint="eastAsia" w:cs="Times New Roman"/>
                <w:color w:val="000000" w:themeColor="text1"/>
                <w:szCs w:val="21"/>
                <w:highlight w:val="none"/>
                <w:lang w:val="en-US" w:eastAsia="zh-CN"/>
                <w14:textFill>
                  <w14:solidFill>
                    <w14:schemeClr w14:val="tx1"/>
                  </w14:solidFill>
                </w14:textFill>
              </w:rPr>
              <w:t>29</w:t>
            </w:r>
            <w:r>
              <w:rPr>
                <w:rFonts w:hint="default" w:ascii="Times New Roman" w:hAnsi="Times New Roman" w:eastAsia="宋体" w:cs="Times New Roman"/>
                <w:color w:val="000000" w:themeColor="text1"/>
                <w:szCs w:val="21"/>
                <w:highlight w:val="none"/>
                <w14:textFill>
                  <w14:solidFill>
                    <w14:schemeClr w14:val="tx1"/>
                  </w14:solidFill>
                </w14:textFill>
              </w:rPr>
              <w:t>微克/立方米、</w:t>
            </w:r>
            <w:r>
              <w:rPr>
                <w:rFonts w:hint="eastAsia" w:cs="Times New Roman"/>
                <w:color w:val="000000" w:themeColor="text1"/>
                <w:szCs w:val="21"/>
                <w:highlight w:val="none"/>
                <w:lang w:val="en-US" w:eastAsia="zh-CN"/>
                <w14:textFill>
                  <w14:solidFill>
                    <w14:schemeClr w14:val="tx1"/>
                  </w14:solidFill>
                </w14:textFill>
              </w:rPr>
              <w:t>47</w:t>
            </w:r>
            <w:r>
              <w:rPr>
                <w:rFonts w:hint="default" w:ascii="Times New Roman" w:hAnsi="Times New Roman" w:eastAsia="宋体" w:cs="Times New Roman"/>
                <w:color w:val="000000" w:themeColor="text1"/>
                <w:szCs w:val="21"/>
                <w:highlight w:val="none"/>
                <w14:textFill>
                  <w14:solidFill>
                    <w14:schemeClr w14:val="tx1"/>
                  </w14:solidFill>
                </w14:textFill>
              </w:rPr>
              <w:t>微克/立方米、8微克/立方米和</w:t>
            </w:r>
            <w:r>
              <w:rPr>
                <w:rFonts w:hint="eastAsia" w:cs="Times New Roman"/>
                <w:color w:val="000000" w:themeColor="text1"/>
                <w:szCs w:val="21"/>
                <w:highlight w:val="none"/>
                <w:lang w:val="en-US" w:eastAsia="zh-CN"/>
                <w14:textFill>
                  <w14:solidFill>
                    <w14:schemeClr w14:val="tx1"/>
                  </w14:solidFill>
                </w14:textFill>
              </w:rPr>
              <w:t>26</w:t>
            </w:r>
            <w:r>
              <w:rPr>
                <w:rFonts w:hint="default" w:ascii="Times New Roman" w:hAnsi="Times New Roman" w:eastAsia="宋体" w:cs="Times New Roman"/>
                <w:color w:val="000000" w:themeColor="text1"/>
                <w:szCs w:val="21"/>
                <w:highlight w:val="none"/>
                <w14:textFill>
                  <w14:solidFill>
                    <w14:schemeClr w14:val="tx1"/>
                  </w14:solidFill>
                </w14:textFill>
              </w:rPr>
              <w:t>微克/立方米；一氧化碳（CO）为1</w:t>
            </w:r>
            <w:r>
              <w:rPr>
                <w:rFonts w:hint="eastAsia" w:cs="Times New Roman"/>
                <w:color w:val="000000" w:themeColor="text1"/>
                <w:szCs w:val="21"/>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szCs w:val="21"/>
                <w:highlight w:val="none"/>
                <w14:textFill>
                  <w14:solidFill>
                    <w14:schemeClr w14:val="tx1"/>
                  </w14:solidFill>
                </w14:textFill>
              </w:rPr>
              <w:t>毫克/立方米和，与202</w:t>
            </w:r>
            <w:r>
              <w:rPr>
                <w:rFonts w:hint="eastAsia"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年相比，同比持平；臭氧（O</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）浓度为1</w:t>
            </w:r>
            <w:r>
              <w:rPr>
                <w:rFonts w:hint="eastAsia" w:cs="Times New Roman"/>
                <w:color w:val="000000" w:themeColor="text1"/>
                <w:szCs w:val="21"/>
                <w:highlight w:val="none"/>
                <w:lang w:val="en-US" w:eastAsia="zh-CN"/>
                <w14:textFill>
                  <w14:solidFill>
                    <w14:schemeClr w14:val="tx1"/>
                  </w14:solidFill>
                </w14:textFill>
              </w:rPr>
              <w:t>61</w:t>
            </w:r>
            <w:r>
              <w:rPr>
                <w:rFonts w:hint="default" w:ascii="Times New Roman" w:hAnsi="Times New Roman" w:eastAsia="宋体" w:cs="Times New Roman"/>
                <w:color w:val="000000" w:themeColor="text1"/>
                <w:szCs w:val="21"/>
                <w:highlight w:val="none"/>
                <w14:textFill>
                  <w14:solidFill>
                    <w14:schemeClr w14:val="tx1"/>
                  </w14:solidFill>
                </w14:textFill>
              </w:rPr>
              <w:t>微克/立方米，同比</w:t>
            </w:r>
            <w:r>
              <w:rPr>
                <w:rFonts w:hint="eastAsia" w:cs="Times New Roman"/>
                <w:color w:val="000000" w:themeColor="text1"/>
                <w:szCs w:val="21"/>
                <w:highlight w:val="none"/>
                <w:lang w:val="en-US" w:eastAsia="zh-CN"/>
                <w14:textFill>
                  <w14:solidFill>
                    <w14:schemeClr w14:val="tx1"/>
                  </w14:solidFill>
                </w14:textFill>
              </w:rPr>
              <w:t>下降6.4%</w:t>
            </w:r>
            <w:r>
              <w:rPr>
                <w:rFonts w:hint="default" w:ascii="Times New Roman" w:hAnsi="Times New Roman" w:eastAsia="宋体" w:cs="Times New Roman"/>
                <w:color w:val="000000" w:themeColor="text1"/>
                <w:szCs w:val="21"/>
                <w:highlight w:val="none"/>
                <w14:textFill>
                  <w14:solidFill>
                    <w14:schemeClr w14:val="tx1"/>
                  </w14:solidFill>
                </w14:textFill>
              </w:rPr>
              <w:t>。对照《环境空气质量标准》（GB3095-2012），臭氧浓度超过二级标准，项目所在区PM</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2.5</w:t>
            </w:r>
            <w:r>
              <w:rPr>
                <w:rFonts w:hint="default" w:ascii="Times New Roman" w:hAnsi="Times New Roman" w:eastAsia="宋体" w:cs="Times New Roman"/>
                <w:color w:val="000000" w:themeColor="text1"/>
                <w:szCs w:val="21"/>
                <w:highlight w:val="none"/>
                <w14:textFill>
                  <w14:solidFill>
                    <w14:schemeClr w14:val="tx1"/>
                  </w14:solidFill>
                </w14:textFill>
              </w:rPr>
              <w:t>、NO</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、PM</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10</w:t>
            </w:r>
            <w:r>
              <w:rPr>
                <w:rFonts w:hint="default" w:ascii="Times New Roman" w:hAnsi="Times New Roman" w:eastAsia="宋体" w:cs="Times New Roman"/>
                <w:color w:val="000000" w:themeColor="text1"/>
                <w:szCs w:val="21"/>
                <w:highlight w:val="none"/>
                <w14:textFill>
                  <w14:solidFill>
                    <w14:schemeClr w14:val="tx1"/>
                  </w14:solidFill>
                </w14:textFill>
              </w:rPr>
              <w:t>、SO</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和CO浓度达标。因此，吴江区属于非达标区</w:t>
            </w:r>
            <w:bookmarkEnd w:id="2"/>
            <w:r>
              <w:rPr>
                <w:rFonts w:hint="default" w:ascii="Times New Roman" w:hAnsi="Times New Roman" w:eastAsia="宋体" w:cs="Times New Roman"/>
                <w:color w:val="000000" w:themeColor="text1"/>
                <w:szCs w:val="21"/>
                <w:highlight w:val="none"/>
                <w14:textFill>
                  <w14:solidFill>
                    <w14:schemeClr w14:val="tx1"/>
                  </w14:solidFill>
                </w14:textFill>
              </w:rPr>
              <w:t>。</w:t>
            </w:r>
          </w:p>
          <w:p w14:paraId="55490943">
            <w:pPr>
              <w:pStyle w:val="181"/>
              <w:spacing w:line="440" w:lineRule="exact"/>
              <w:ind w:firstLine="420"/>
              <w:jc w:val="both"/>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根据苏州市空气质量改善达标规划（2019-2024年），苏州市在完成国家和省的大气污染防治工作的基础上，根据地方特色积极探索新的防治途径，在产业结构优化、能源结构调整、运输结构优化、用地结构优化、重污染应对等方面开展了诸多工作。</w:t>
            </w:r>
          </w:p>
          <w:p w14:paraId="759ECB64">
            <w:pPr>
              <w:pStyle w:val="181"/>
              <w:spacing w:line="440" w:lineRule="exact"/>
              <w:ind w:firstLine="420"/>
              <w:jc w:val="both"/>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产业结构优化方面，全面控制产能严重过剩行业产能，严格审批新增产能项目，开展已有产能的清理排查工作。严格贯彻落实国家和江苏省落后产能淘汰工作要求，实施重污染企业搬迁改造或关闭退出以及“散乱污”企业及集群综合整治。全面开展化工园区整治和化工企业“四个一批”专项行动。截至2018年，累计关停化工企业364家，整治“散乱污”企业（作坊）2.91万家。</w:t>
            </w:r>
          </w:p>
          <w:p w14:paraId="195DD6E2">
            <w:pPr>
              <w:pStyle w:val="181"/>
              <w:spacing w:line="440" w:lineRule="exact"/>
              <w:ind w:firstLine="420"/>
              <w:jc w:val="both"/>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能源结构优化方面，严格控制消费总量，实施煤炭消费减量或等量替代；积极推进燃煤锅炉超低排放和燃气锅炉低氮改造，积极推进35蒸吨/小时燃煤锅炉淘汰</w:t>
            </w:r>
            <w:r>
              <w:rPr>
                <w:rFonts w:hint="default" w:ascii="Times New Roman" w:hAnsi="Times New Roman" w:eastAsia="宋体" w:cs="Times New Roman"/>
                <w:bCs/>
                <w:color w:val="000000" w:themeColor="text1"/>
                <w:szCs w:val="21"/>
                <w:highlight w:val="none"/>
                <w:lang w:eastAsia="zh-Hans"/>
                <w14:textFill>
                  <w14:solidFill>
                    <w14:schemeClr w14:val="tx1"/>
                  </w14:solidFill>
                </w14:textFill>
              </w:rPr>
              <w:t>或</w:t>
            </w:r>
            <w:r>
              <w:rPr>
                <w:rFonts w:hint="default" w:ascii="Times New Roman" w:hAnsi="Times New Roman" w:eastAsia="宋体" w:cs="Times New Roman"/>
                <w:bCs/>
                <w:color w:val="000000" w:themeColor="text1"/>
                <w:szCs w:val="21"/>
                <w:highlight w:val="none"/>
                <w14:textFill>
                  <w14:solidFill>
                    <w14:schemeClr w14:val="tx1"/>
                  </w14:solidFill>
                </w14:textFill>
              </w:rPr>
              <w:t>改用清洁能源，65蒸吨及以上燃煤锅炉超低排放改造。目前苏州市火电企业均完成了超低排放改造；进一步提升能源利用效率，强化高能耗项目源头管控，严格项目能评审查制度。对能耗预警地区的项目实施缓批、限批方式，有效遏制了高耗能项目过快增长；发展清洁能源和新能源，大力发展太阳能、风能、生物质能等可再生能源。截至2018年11月，全市可再生能源装机124.67万千瓦。</w:t>
            </w:r>
          </w:p>
          <w:p w14:paraId="34540185">
            <w:pPr>
              <w:pStyle w:val="181"/>
              <w:spacing w:line="440" w:lineRule="exact"/>
              <w:ind w:firstLine="420"/>
              <w:jc w:val="both"/>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运输结构优化方面，进一步提升铁路、水路运输比例，加快铁路、航道、港口等基础设施项目建设；发展多式联运，扶持吴淞江综合物流园“江海联运”，帮扶“苏南公铁水集装箱”项目成功申报第三批全国多式联运示范工程，打造苏南地区多式联运枢纽；加快车船结构升级，大力淘汰老旧车辆，推广新能源汽车。2018年全市注销报废营运货车4323辆，市区新能源及清洁能源公交车占比达77%；开展新车环保装置检验，定期检验机构监管及联网数据传输，完善遥感监测设施建设；划定高污染车辆和非道路移动机械禁行区，加强运输船舶的扬尘污染治理和靠港船舶使用岸电。</w:t>
            </w:r>
          </w:p>
          <w:p w14:paraId="2C5D94CE">
            <w:pPr>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用地结构优化方面，实施防风固沙绿化工程，严格落实施工工地“六个百分之百”，严控施工扬尘污染；不断提高道路保洁机械化作业程度和频次，积极推进堆场、码头防风实现封闭储存和在线监测安装；强化秸秆禁烧和综合利用，大力推进畜禽粪资源化，严格控制氮排放。持续</w:t>
            </w:r>
            <w:r>
              <w:rPr>
                <w:rFonts w:hint="default" w:ascii="Times New Roman" w:hAnsi="Times New Roman" w:eastAsia="宋体" w:cs="Times New Roman"/>
                <w:bCs/>
                <w:color w:val="000000" w:themeColor="text1"/>
                <w:szCs w:val="21"/>
                <w:highlight w:val="none"/>
                <w:lang w:eastAsia="zh-Hans"/>
                <w14:textFill>
                  <w14:solidFill>
                    <w14:schemeClr w14:val="tx1"/>
                  </w14:solidFill>
                </w14:textFill>
              </w:rPr>
              <w:t>推进</w:t>
            </w:r>
            <w:r>
              <w:rPr>
                <w:rFonts w:hint="default" w:ascii="Times New Roman" w:hAnsi="Times New Roman" w:eastAsia="宋体" w:cs="Times New Roman"/>
                <w:bCs/>
                <w:color w:val="000000" w:themeColor="text1"/>
                <w:szCs w:val="21"/>
                <w:highlight w:val="none"/>
                <w14:textFill>
                  <w14:solidFill>
                    <w14:schemeClr w14:val="tx1"/>
                  </w14:solidFill>
                </w14:textFill>
              </w:rPr>
              <w:t>餐饮油烟治理和烟花爆竹污染防治</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233F4FC8">
            <w:pPr>
              <w:adjustRightInd w:val="0"/>
              <w:snapToGrid w:val="0"/>
              <w:spacing w:line="440" w:lineRule="exact"/>
              <w:jc w:val="left"/>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2、地表水环境质量现状</w:t>
            </w:r>
          </w:p>
          <w:p w14:paraId="6C0B9D86">
            <w:pPr>
              <w:adjustRightInd w:val="0"/>
              <w:snapToGrid w:val="0"/>
              <w:spacing w:line="48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bookmarkStart w:id="3" w:name="_Hlk176443371"/>
            <w:r>
              <w:rPr>
                <w:rFonts w:hint="default" w:ascii="Times New Roman" w:hAnsi="Times New Roman" w:eastAsia="宋体" w:cs="Times New Roman"/>
                <w:color w:val="000000" w:themeColor="text1"/>
                <w:szCs w:val="21"/>
                <w:highlight w:val="none"/>
                <w14:textFill>
                  <w14:solidFill>
                    <w14:schemeClr w14:val="tx1"/>
                  </w14:solidFill>
                </w14:textFill>
              </w:rPr>
              <w:t>根据《建设项目环境影响报告表编制技术指南》（污染影响类）（试行）的要求，本期项目地表水环境质量现状引用《</w:t>
            </w:r>
            <w:r>
              <w:rPr>
                <w:rFonts w:hint="eastAsia" w:cs="Times New Roman"/>
                <w:color w:val="000000" w:themeColor="text1"/>
                <w:szCs w:val="21"/>
                <w:highlight w:val="none"/>
                <w:lang w:eastAsia="zh-CN"/>
                <w14:textFill>
                  <w14:solidFill>
                    <w14:schemeClr w14:val="tx1"/>
                  </w14:solidFill>
                </w14:textFill>
              </w:rPr>
              <w:t>2024年度苏州市生态环境状况公报</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3288C7AC">
            <w:pPr>
              <w:adjustRightInd w:val="0"/>
              <w:snapToGrid w:val="0"/>
              <w:spacing w:line="48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根据公报，202</w:t>
            </w:r>
            <w:r>
              <w:rPr>
                <w:rFonts w:hint="eastAsia"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年，30个国考断面中，年均水质达到或好于《地表水环境质量标准》（GB3838-2002）Ⅲ类标准面比例为93.3%</w:t>
            </w:r>
            <w:r>
              <w:rPr>
                <w:rFonts w:hint="eastAsia"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同比</w:t>
            </w:r>
            <w:r>
              <w:rPr>
                <w:rFonts w:hint="eastAsia" w:cs="Times New Roman"/>
                <w:color w:val="000000" w:themeColor="text1"/>
                <w:szCs w:val="21"/>
                <w:highlight w:val="none"/>
                <w:lang w:val="en-US" w:eastAsia="zh-CN"/>
                <w14:textFill>
                  <w14:solidFill>
                    <w14:schemeClr w14:val="tx1"/>
                  </w14:solidFill>
                </w14:textFill>
              </w:rPr>
              <w:t>持平</w:t>
            </w:r>
            <w:r>
              <w:rPr>
                <w:rFonts w:hint="default" w:ascii="Times New Roman" w:hAnsi="Times New Roman" w:eastAsia="宋体" w:cs="Times New Roman"/>
                <w:color w:val="000000" w:themeColor="text1"/>
                <w:szCs w:val="21"/>
                <w:highlight w:val="none"/>
                <w14:textFill>
                  <w14:solidFill>
                    <w14:schemeClr w14:val="tx1"/>
                  </w14:solidFill>
                </w14:textFill>
              </w:rPr>
              <w:t>；未达Ⅲ类的2个断面为Ⅳ类（均为湖泊）；年均水质达到Ⅱ类标准的断面比例为</w:t>
            </w:r>
            <w:r>
              <w:rPr>
                <w:rFonts w:hint="eastAsia" w:cs="Times New Roman"/>
                <w:color w:val="000000" w:themeColor="text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Cs w:val="21"/>
                <w:highlight w:val="none"/>
                <w14:textFill>
                  <w14:solidFill>
                    <w14:schemeClr w14:val="tx1"/>
                  </w14:solidFill>
                </w14:textFill>
              </w:rPr>
              <w:t>3.3%，同比上升</w:t>
            </w:r>
            <w:r>
              <w:rPr>
                <w:rFonts w:hint="eastAsia" w:cs="Times New Roman"/>
                <w:color w:val="000000" w:themeColor="text1"/>
                <w:szCs w:val="21"/>
                <w:highlight w:val="none"/>
                <w:lang w:val="en-US" w:eastAsia="zh-CN"/>
                <w14:textFill>
                  <w14:solidFill>
                    <w14:schemeClr w14:val="tx1"/>
                  </w14:solidFill>
                </w14:textFill>
              </w:rPr>
              <w:t>10.0</w:t>
            </w:r>
            <w:r>
              <w:rPr>
                <w:rFonts w:hint="default" w:ascii="Times New Roman" w:hAnsi="Times New Roman" w:eastAsia="宋体" w:cs="Times New Roman"/>
                <w:color w:val="000000" w:themeColor="text1"/>
                <w:szCs w:val="21"/>
                <w:highlight w:val="none"/>
                <w14:textFill>
                  <w14:solidFill>
                    <w14:schemeClr w14:val="tx1"/>
                  </w14:solidFill>
                </w14:textFill>
              </w:rPr>
              <w:t>个百分点，Ⅱ类水体比例全省第一。202</w:t>
            </w:r>
            <w:r>
              <w:rPr>
                <w:rFonts w:hint="eastAsia"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年，80个省考断面中，年均水质达到或好于《地表水环境质量标准》（GB3838-20052）Ⅲ类标准的断面比例为9</w:t>
            </w:r>
            <w:r>
              <w:rPr>
                <w:rFonts w:hint="eastAsia" w:cs="Times New Roman"/>
                <w:color w:val="000000" w:themeColor="text1"/>
                <w:szCs w:val="21"/>
                <w:highlight w:val="none"/>
                <w:lang w:val="en-US" w:eastAsia="zh-CN"/>
                <w14:textFill>
                  <w14:solidFill>
                    <w14:schemeClr w14:val="tx1"/>
                  </w14:solidFill>
                </w14:textFill>
              </w:rPr>
              <w:t>7.5</w:t>
            </w:r>
            <w:r>
              <w:rPr>
                <w:rFonts w:hint="default" w:ascii="Times New Roman" w:hAnsi="Times New Roman" w:eastAsia="宋体" w:cs="Times New Roman"/>
                <w:color w:val="000000" w:themeColor="text1"/>
                <w:szCs w:val="21"/>
                <w:highlight w:val="none"/>
                <w14:textFill>
                  <w14:solidFill>
                    <w14:schemeClr w14:val="tx1"/>
                  </w14:solidFill>
                </w14:textFill>
              </w:rPr>
              <w:t>%，同比上升2.5个百分点；未达Ⅲ类的4个断面为Ⅳ类（均为湖泊）。年均水质达到Ⅱ类标准的断面比例为6</w:t>
            </w:r>
            <w:r>
              <w:rPr>
                <w:rFonts w:hint="eastAsia" w:cs="Times New Roman"/>
                <w:color w:val="000000" w:themeColor="text1"/>
                <w:szCs w:val="21"/>
                <w:highlight w:val="none"/>
                <w:lang w:val="en-US" w:eastAsia="zh-CN"/>
                <w14:textFill>
                  <w14:solidFill>
                    <w14:schemeClr w14:val="tx1"/>
                  </w14:solidFill>
                </w14:textFill>
              </w:rPr>
              <w:t>8.8</w:t>
            </w:r>
            <w:r>
              <w:rPr>
                <w:rFonts w:hint="default" w:ascii="Times New Roman" w:hAnsi="Times New Roman" w:eastAsia="宋体" w:cs="Times New Roman"/>
                <w:color w:val="000000" w:themeColor="text1"/>
                <w:szCs w:val="21"/>
                <w:highlight w:val="none"/>
                <w14:textFill>
                  <w14:solidFill>
                    <w14:schemeClr w14:val="tx1"/>
                  </w14:solidFill>
                </w14:textFill>
              </w:rPr>
              <w:t>%，同比上升2.5个百分点，Ⅱ类水体比例全省第二。202</w:t>
            </w:r>
            <w:r>
              <w:rPr>
                <w:rFonts w:hint="eastAsia"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年，长江（苏州段）总体水质稳定在优级水平。长江干流（苏州段）各断面水质均达Ⅱ类，同比持平。主要通江河道水质均达到或优于Ⅲ类，同比持平，Ⅱ类水体断面23个，同比减少1个。2024年，太湖（苏州辖区）总体水质为Ⅲ类。湖体高锰酸盐指数和氮氧平均浓度分别为2.8毫克/升和0.06毫克/升，保持在Ⅱ类和Ⅰ类；总磷平均浓度为0.042毫克/升，保持在Ⅲ类；总氮平均浓度为1.22毫克/升；综合营养状态指数为50.4，处于轻度富营养状态。</w:t>
            </w:r>
          </w:p>
          <w:bookmarkEnd w:id="3"/>
          <w:p w14:paraId="0A12DAD7">
            <w:pPr>
              <w:adjustRightInd w:val="0"/>
              <w:snapToGrid w:val="0"/>
              <w:spacing w:line="480" w:lineRule="exact"/>
              <w:jc w:val="left"/>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3、声环境质量现状</w:t>
            </w:r>
          </w:p>
          <w:p w14:paraId="74210CA5">
            <w:pPr>
              <w:keepNext w:val="0"/>
              <w:keepLines w:val="0"/>
              <w:pageBreakBefore w:val="0"/>
              <w:widowControl w:val="0"/>
              <w:kinsoku/>
              <w:wordWrap/>
              <w:overflowPunct/>
              <w:topLinePunct w:val="0"/>
              <w:autoSpaceDE/>
              <w:autoSpaceDN/>
              <w:bidi w:val="0"/>
              <w:adjustRightInd w:val="0"/>
              <w:snapToGrid w:val="0"/>
              <w:spacing w:line="480" w:lineRule="atLeast"/>
              <w:ind w:firstLine="420" w:firstLineChars="200"/>
              <w:jc w:val="left"/>
              <w:textAlignment w:val="auto"/>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本项目引用</w:t>
            </w:r>
            <w:r>
              <w:rPr>
                <w:rFonts w:hint="default" w:ascii="Times New Roman" w:hAnsi="Times New Roman" w:eastAsia="宋体" w:cs="Times New Roman"/>
                <w:color w:val="000000" w:themeColor="text1"/>
                <w:szCs w:val="21"/>
                <w:highlight w:val="none"/>
                <w14:textFill>
                  <w14:solidFill>
                    <w14:schemeClr w14:val="tx1"/>
                  </w14:solidFill>
                </w14:textFill>
              </w:rPr>
              <w:t>江苏华电吴江热电有限公司</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于</w:t>
            </w:r>
            <w:r>
              <w:rPr>
                <w:rFonts w:hint="default" w:ascii="Times New Roman" w:hAnsi="Times New Roman" w:eastAsia="宋体" w:cs="Times New Roman"/>
                <w:color w:val="000000" w:themeColor="text1"/>
                <w:szCs w:val="21"/>
                <w:highlight w:val="none"/>
                <w14:textFill>
                  <w14:solidFill>
                    <w14:schemeClr w14:val="tx1"/>
                  </w14:solidFill>
                </w14:textFill>
              </w:rPr>
              <w:t>202</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Cs w:val="21"/>
                <w:highlight w:val="none"/>
                <w14:textFill>
                  <w14:solidFill>
                    <w14:schemeClr w14:val="tx1"/>
                  </w14:solidFill>
                </w14:textFill>
              </w:rPr>
              <w:t>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Cs w:val="21"/>
                <w:highlight w:val="none"/>
                <w14:textFill>
                  <w14:solidFill>
                    <w14:schemeClr w14:val="tx1"/>
                  </w14:solidFill>
                </w14:textFill>
              </w:rPr>
              <w:t>月</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Cs w:val="21"/>
                <w:highlight w:val="none"/>
                <w14:textFill>
                  <w14:solidFill>
                    <w14:schemeClr w14:val="tx1"/>
                  </w14:solidFill>
                </w14:textFill>
              </w:rPr>
              <w:t>日</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~12月20日对厂界四周的</w:t>
            </w:r>
            <w:r>
              <w:rPr>
                <w:rFonts w:hint="default" w:ascii="Times New Roman" w:hAnsi="Times New Roman" w:eastAsia="宋体" w:cs="Times New Roman"/>
                <w:color w:val="000000" w:themeColor="text1"/>
                <w:szCs w:val="21"/>
                <w:highlight w:val="none"/>
                <w14:textFill>
                  <w14:solidFill>
                    <w14:schemeClr w14:val="tx1"/>
                  </w14:solidFill>
                </w14:textFill>
              </w:rPr>
              <w:t>声环境质量</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现状</w:t>
            </w:r>
            <w:r>
              <w:rPr>
                <w:rFonts w:hint="default" w:ascii="Times New Roman" w:hAnsi="Times New Roman" w:eastAsia="宋体" w:cs="Times New Roman"/>
                <w:color w:val="000000" w:themeColor="text1"/>
                <w:szCs w:val="21"/>
                <w:highlight w:val="none"/>
                <w14:textFill>
                  <w14:solidFill>
                    <w14:schemeClr w14:val="tx1"/>
                  </w14:solidFill>
                </w14:textFill>
              </w:rPr>
              <w:t>监测</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结果，监测单位：苏州华瑞环境检测有限公司，</w:t>
            </w:r>
            <w:r>
              <w:rPr>
                <w:rFonts w:hint="default" w:ascii="Times New Roman" w:hAnsi="Times New Roman" w:eastAsia="宋体" w:cs="Times New Roman"/>
                <w:color w:val="000000" w:themeColor="text1"/>
                <w:szCs w:val="21"/>
                <w:highlight w:val="none"/>
                <w14:textFill>
                  <w14:solidFill>
                    <w14:schemeClr w14:val="tx1"/>
                  </w14:solidFill>
                </w14:textFill>
              </w:rPr>
              <w:t>报告编号：</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HR2412224，</w:t>
            </w:r>
            <w:r>
              <w:rPr>
                <w:rFonts w:hint="default" w:ascii="Times New Roman" w:hAnsi="Times New Roman" w:eastAsia="宋体" w:cs="Times New Roman"/>
                <w:color w:val="000000" w:themeColor="text1"/>
                <w:szCs w:val="21"/>
                <w:highlight w:val="none"/>
                <w14:textFill>
                  <w14:solidFill>
                    <w14:schemeClr w14:val="tx1"/>
                  </w14:solidFill>
                </w14:textFill>
              </w:rPr>
              <w:t>天气：</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阴</w:t>
            </w:r>
            <w:r>
              <w:rPr>
                <w:rFonts w:hint="default" w:ascii="Times New Roman" w:hAnsi="Times New Roman" w:eastAsia="宋体" w:cs="Times New Roman"/>
                <w:color w:val="000000" w:themeColor="text1"/>
                <w:szCs w:val="21"/>
                <w:highlight w:val="none"/>
                <w14:textFill>
                  <w14:solidFill>
                    <w14:schemeClr w14:val="tx1"/>
                  </w14:solidFill>
                </w14:textFill>
              </w:rPr>
              <w:t>，风速：昼</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3.1</w:t>
            </w:r>
            <w:r>
              <w:rPr>
                <w:rFonts w:hint="default" w:ascii="Times New Roman" w:hAnsi="Times New Roman" w:eastAsia="宋体" w:cs="Times New Roman"/>
                <w:color w:val="000000" w:themeColor="text1"/>
                <w:szCs w:val="21"/>
                <w:highlight w:val="none"/>
                <w14:textFill>
                  <w14:solidFill>
                    <w14:schemeClr w14:val="tx1"/>
                  </w14:solidFill>
                </w14:textFill>
              </w:rPr>
              <w:t>m/s，夜</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3.0</w:t>
            </w:r>
            <w:r>
              <w:rPr>
                <w:rFonts w:hint="default" w:ascii="Times New Roman" w:hAnsi="Times New Roman" w:eastAsia="宋体" w:cs="Times New Roman"/>
                <w:color w:val="000000" w:themeColor="text1"/>
                <w:szCs w:val="21"/>
                <w:highlight w:val="none"/>
                <w14:textFill>
                  <w14:solidFill>
                    <w14:schemeClr w14:val="tx1"/>
                  </w14:solidFill>
                </w14:textFill>
              </w:rPr>
              <w:t>m/s</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同时，本项目于</w:t>
            </w:r>
            <w:r>
              <w:rPr>
                <w:rFonts w:hint="default" w:ascii="Times New Roman" w:hAnsi="Times New Roman" w:eastAsia="宋体" w:cs="Times New Roman"/>
                <w:color w:val="000000" w:themeColor="text1"/>
                <w:szCs w:val="21"/>
                <w:highlight w:val="none"/>
                <w14:textFill>
                  <w14:solidFill>
                    <w14:schemeClr w14:val="tx1"/>
                  </w14:solidFill>
                </w14:textFill>
              </w:rPr>
              <w:t>202</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14:textFill>
                  <w14:solidFill>
                    <w14:schemeClr w14:val="tx1"/>
                  </w14:solidFill>
                </w14:textFill>
              </w:rPr>
              <w:t>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14:textFill>
                  <w14:solidFill>
                    <w14:schemeClr w14:val="tx1"/>
                  </w14:solidFill>
                </w14:textFill>
              </w:rPr>
              <w:t>月</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Cs w:val="21"/>
                <w:highlight w:val="none"/>
                <w14:textFill>
                  <w14:solidFill>
                    <w14:schemeClr w14:val="tx1"/>
                  </w14:solidFill>
                </w14:textFill>
              </w:rPr>
              <w:t>日</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对本项目周边50m范围内敏感目标（平运路三弄、</w:t>
            </w:r>
            <w:r>
              <w:rPr>
                <w:rFonts w:hint="default" w:ascii="Times New Roman" w:hAnsi="Times New Roman" w:eastAsia="宋体" w:cs="Times New Roman"/>
                <w:color w:val="000000" w:themeColor="text1"/>
                <w:szCs w:val="21"/>
                <w:highlight w:val="none"/>
                <w14:textFill>
                  <w14:solidFill>
                    <w14:schemeClr w14:val="tx1"/>
                  </w14:solidFill>
                </w14:textFill>
              </w:rPr>
              <w:t>平运路33号</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平运路37号</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南斯港社区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）的</w:t>
            </w:r>
            <w:r>
              <w:rPr>
                <w:rFonts w:hint="default" w:ascii="Times New Roman" w:hAnsi="Times New Roman" w:eastAsia="宋体" w:cs="Times New Roman"/>
                <w:color w:val="000000" w:themeColor="text1"/>
                <w:szCs w:val="21"/>
                <w:highlight w:val="none"/>
                <w14:textFill>
                  <w14:solidFill>
                    <w14:schemeClr w14:val="tx1"/>
                  </w14:solidFill>
                </w14:textFill>
              </w:rPr>
              <w:t>声环境质量</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现状进行了监测，监测单位：苏州华瑞环境检测有限公司，</w:t>
            </w:r>
            <w:r>
              <w:rPr>
                <w:rFonts w:hint="default" w:ascii="Times New Roman" w:hAnsi="Times New Roman" w:eastAsia="宋体" w:cs="Times New Roman"/>
                <w:color w:val="000000" w:themeColor="text1"/>
                <w:szCs w:val="21"/>
                <w:highlight w:val="none"/>
                <w14:textFill>
                  <w14:solidFill>
                    <w14:schemeClr w14:val="tx1"/>
                  </w14:solidFill>
                </w14:textFill>
              </w:rPr>
              <w:t>报告编号：</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HR2505252，</w:t>
            </w:r>
            <w:r>
              <w:rPr>
                <w:rFonts w:hint="default" w:ascii="Times New Roman" w:hAnsi="Times New Roman" w:eastAsia="宋体" w:cs="Times New Roman"/>
                <w:color w:val="000000" w:themeColor="text1"/>
                <w:szCs w:val="21"/>
                <w:highlight w:val="none"/>
                <w14:textFill>
                  <w14:solidFill>
                    <w14:schemeClr w14:val="tx1"/>
                  </w14:solidFill>
                </w14:textFill>
              </w:rPr>
              <w:t>天气：</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多云</w:t>
            </w:r>
            <w:r>
              <w:rPr>
                <w:rFonts w:hint="default" w:ascii="Times New Roman" w:hAnsi="Times New Roman" w:eastAsia="宋体" w:cs="Times New Roman"/>
                <w:color w:val="000000" w:themeColor="text1"/>
                <w:szCs w:val="21"/>
                <w:highlight w:val="none"/>
                <w14:textFill>
                  <w14:solidFill>
                    <w14:schemeClr w14:val="tx1"/>
                  </w14:solidFill>
                </w14:textFill>
              </w:rPr>
              <w:t>，风速：昼</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2.8</w:t>
            </w:r>
            <w:r>
              <w:rPr>
                <w:rFonts w:hint="default" w:ascii="Times New Roman" w:hAnsi="Times New Roman" w:eastAsia="宋体" w:cs="Times New Roman"/>
                <w:color w:val="000000" w:themeColor="text1"/>
                <w:szCs w:val="21"/>
                <w:highlight w:val="none"/>
                <w14:textFill>
                  <w14:solidFill>
                    <w14:schemeClr w14:val="tx1"/>
                  </w14:solidFill>
                </w14:textFill>
              </w:rPr>
              <w:t>m/s，夜</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2.8</w:t>
            </w:r>
            <w:r>
              <w:rPr>
                <w:rFonts w:hint="default" w:ascii="Times New Roman" w:hAnsi="Times New Roman" w:eastAsia="宋体" w:cs="Times New Roman"/>
                <w:color w:val="000000" w:themeColor="text1"/>
                <w:szCs w:val="21"/>
                <w:highlight w:val="none"/>
                <w14:textFill>
                  <w14:solidFill>
                    <w14:schemeClr w14:val="tx1"/>
                  </w14:solidFill>
                </w14:textFill>
              </w:rPr>
              <w:t>m/s</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具体监测结果见表3-</w:t>
            </w:r>
            <w:r>
              <w:rPr>
                <w:rFonts w:hint="eastAsia" w:cs="Times New Roman"/>
                <w:color w:val="000000" w:themeColor="text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104F42EE">
            <w:pPr>
              <w:keepNext w:val="0"/>
              <w:keepLines w:val="0"/>
              <w:pageBreakBefore w:val="0"/>
              <w:widowControl w:val="0"/>
              <w:kinsoku/>
              <w:wordWrap/>
              <w:overflowPunct/>
              <w:topLinePunct w:val="0"/>
              <w:autoSpaceDE/>
              <w:autoSpaceDN/>
              <w:bidi w:val="0"/>
              <w:adjustRightInd w:val="0"/>
              <w:snapToGrid w:val="0"/>
              <w:spacing w:line="480" w:lineRule="atLeast"/>
              <w:jc w:val="center"/>
              <w:textAlignment w:val="auto"/>
              <w:rPr>
                <w:rFonts w:hint="default" w:ascii="Times New Roman" w:hAnsi="Times New Roman" w:eastAsia="宋体" w:cs="Times New Roman"/>
                <w:b/>
                <w:bCs/>
                <w:color w:val="000000" w:themeColor="text1"/>
                <w:kern w:val="0"/>
                <w:sz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表3-</w:t>
            </w:r>
            <w:r>
              <w:rPr>
                <w:rFonts w:hint="eastAsia" w:cs="Times New Roman"/>
                <w:b w:val="0"/>
                <w:bCs w:val="0"/>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 xml:space="preserve">  本项目声环境质量现状监测</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结果</w:t>
            </w: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单位</w:t>
            </w: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dB</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eastAsia="zh-CN"/>
                <w14:textFill>
                  <w14:solidFill>
                    <w14:schemeClr w14:val="tx1"/>
                  </w14:solidFill>
                </w14:textFill>
              </w:rPr>
              <w:t>）</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1997"/>
              <w:gridCol w:w="652"/>
              <w:gridCol w:w="988"/>
              <w:gridCol w:w="996"/>
              <w:gridCol w:w="980"/>
              <w:gridCol w:w="985"/>
              <w:gridCol w:w="753"/>
            </w:tblGrid>
            <w:tr w14:paraId="50BB4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vMerge w:val="restart"/>
                  <w:tcBorders>
                    <w:tl2br w:val="nil"/>
                    <w:tr2bl w:val="nil"/>
                  </w:tcBorders>
                  <w:noWrap w:val="0"/>
                  <w:vAlign w:val="center"/>
                </w:tcPr>
                <w:p w14:paraId="21BC879E">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监测点</w:t>
                  </w:r>
                </w:p>
              </w:tc>
              <w:tc>
                <w:tcPr>
                  <w:tcW w:w="2252" w:type="dxa"/>
                  <w:vMerge w:val="restart"/>
                  <w:tcBorders>
                    <w:tl2br w:val="nil"/>
                    <w:tr2bl w:val="nil"/>
                  </w:tcBorders>
                  <w:noWrap w:val="0"/>
                  <w:vAlign w:val="center"/>
                </w:tcPr>
                <w:p w14:paraId="19F52A5F">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测点位置</w:t>
                  </w:r>
                </w:p>
              </w:tc>
              <w:tc>
                <w:tcPr>
                  <w:tcW w:w="693" w:type="dxa"/>
                  <w:vMerge w:val="restart"/>
                  <w:tcBorders>
                    <w:tl2br w:val="nil"/>
                    <w:tr2bl w:val="nil"/>
                  </w:tcBorders>
                  <w:noWrap w:val="0"/>
                  <w:vAlign w:val="center"/>
                </w:tcPr>
                <w:p w14:paraId="3E8F878E">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标准</w:t>
                  </w:r>
                </w:p>
                <w:p w14:paraId="4D9DA0AF">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级别</w:t>
                  </w:r>
                </w:p>
              </w:tc>
              <w:tc>
                <w:tcPr>
                  <w:tcW w:w="2152" w:type="dxa"/>
                  <w:gridSpan w:val="2"/>
                  <w:tcBorders>
                    <w:tl2br w:val="nil"/>
                    <w:tr2bl w:val="nil"/>
                  </w:tcBorders>
                  <w:noWrap w:val="0"/>
                  <w:vAlign w:val="center"/>
                </w:tcPr>
                <w:p w14:paraId="1F145DDB">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昼间</w:t>
                  </w:r>
                </w:p>
              </w:tc>
              <w:tc>
                <w:tcPr>
                  <w:tcW w:w="2130" w:type="dxa"/>
                  <w:gridSpan w:val="2"/>
                  <w:tcBorders>
                    <w:tl2br w:val="nil"/>
                    <w:tr2bl w:val="nil"/>
                  </w:tcBorders>
                  <w:noWrap w:val="0"/>
                  <w:vAlign w:val="center"/>
                </w:tcPr>
                <w:p w14:paraId="0EBE2D83">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夜间</w:t>
                  </w:r>
                </w:p>
              </w:tc>
              <w:tc>
                <w:tcPr>
                  <w:tcW w:w="809" w:type="dxa"/>
                  <w:vMerge w:val="restart"/>
                  <w:tcBorders>
                    <w:tl2br w:val="nil"/>
                    <w:tr2bl w:val="nil"/>
                  </w:tcBorders>
                  <w:noWrap w:val="0"/>
                  <w:vAlign w:val="center"/>
                </w:tcPr>
                <w:p w14:paraId="5A804636">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达标情况</w:t>
                  </w:r>
                </w:p>
              </w:tc>
            </w:tr>
            <w:tr w14:paraId="762BE1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vMerge w:val="continue"/>
                  <w:tcBorders>
                    <w:tl2br w:val="nil"/>
                    <w:tr2bl w:val="nil"/>
                  </w:tcBorders>
                  <w:noWrap w:val="0"/>
                  <w:vAlign w:val="center"/>
                </w:tcPr>
                <w:p w14:paraId="6148E6B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2252" w:type="dxa"/>
                  <w:vMerge w:val="continue"/>
                  <w:tcBorders>
                    <w:tl2br w:val="nil"/>
                    <w:tr2bl w:val="nil"/>
                  </w:tcBorders>
                  <w:noWrap w:val="0"/>
                  <w:vAlign w:val="center"/>
                </w:tcPr>
                <w:p w14:paraId="1A86D7B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693" w:type="dxa"/>
                  <w:vMerge w:val="continue"/>
                  <w:tcBorders>
                    <w:tl2br w:val="nil"/>
                    <w:tr2bl w:val="nil"/>
                  </w:tcBorders>
                  <w:noWrap w:val="0"/>
                  <w:vAlign w:val="center"/>
                </w:tcPr>
                <w:p w14:paraId="52B0DFB4">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1061" w:type="dxa"/>
                  <w:tcBorders>
                    <w:tl2br w:val="nil"/>
                    <w:tr2bl w:val="nil"/>
                  </w:tcBorders>
                  <w:noWrap w:val="0"/>
                  <w:vAlign w:val="center"/>
                </w:tcPr>
                <w:p w14:paraId="6D709664">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监测值</w:t>
                  </w:r>
                </w:p>
              </w:tc>
              <w:tc>
                <w:tcPr>
                  <w:tcW w:w="1091" w:type="dxa"/>
                  <w:tcBorders>
                    <w:tl2br w:val="nil"/>
                    <w:tr2bl w:val="nil"/>
                  </w:tcBorders>
                  <w:noWrap w:val="0"/>
                  <w:vAlign w:val="center"/>
                </w:tcPr>
                <w:p w14:paraId="581E4875">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标准值</w:t>
                  </w:r>
                </w:p>
              </w:tc>
              <w:tc>
                <w:tcPr>
                  <w:tcW w:w="1052" w:type="dxa"/>
                  <w:tcBorders>
                    <w:tl2br w:val="nil"/>
                    <w:tr2bl w:val="nil"/>
                  </w:tcBorders>
                  <w:noWrap w:val="0"/>
                  <w:vAlign w:val="center"/>
                </w:tcPr>
                <w:p w14:paraId="19D77596">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监测值</w:t>
                  </w:r>
                </w:p>
              </w:tc>
              <w:tc>
                <w:tcPr>
                  <w:tcW w:w="1078" w:type="dxa"/>
                  <w:tcBorders>
                    <w:tl2br w:val="nil"/>
                    <w:tr2bl w:val="nil"/>
                  </w:tcBorders>
                  <w:noWrap w:val="0"/>
                  <w:vAlign w:val="center"/>
                </w:tcPr>
                <w:p w14:paraId="699C0C10">
                  <w:pPr>
                    <w:adjustRightInd w:val="0"/>
                    <w:snapToGrid w:val="0"/>
                    <w:spacing w:line="240" w:lineRule="auto"/>
                    <w:jc w:val="cente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14:textFill>
                        <w14:solidFill>
                          <w14:schemeClr w14:val="tx1"/>
                        </w14:solidFill>
                      </w14:textFill>
                    </w:rPr>
                    <w:t>标准值</w:t>
                  </w:r>
                </w:p>
              </w:tc>
              <w:tc>
                <w:tcPr>
                  <w:tcW w:w="809" w:type="dxa"/>
                  <w:vMerge w:val="continue"/>
                  <w:tcBorders>
                    <w:tl2br w:val="nil"/>
                    <w:tr2bl w:val="nil"/>
                  </w:tcBorders>
                  <w:noWrap w:val="0"/>
                  <w:vAlign w:val="center"/>
                </w:tcPr>
                <w:p w14:paraId="1D7A8AA7">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r>
            <w:tr w14:paraId="72D5C0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noWrap w:val="0"/>
                  <w:vAlign w:val="center"/>
                </w:tcPr>
                <w:p w14:paraId="25C8C8A1">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N1</w:t>
                  </w:r>
                </w:p>
              </w:tc>
              <w:tc>
                <w:tcPr>
                  <w:tcW w:w="2252" w:type="dxa"/>
                  <w:tcBorders>
                    <w:tl2br w:val="nil"/>
                    <w:tr2bl w:val="nil"/>
                  </w:tcBorders>
                  <w:noWrap w:val="0"/>
                  <w:vAlign w:val="center"/>
                </w:tcPr>
                <w:p w14:paraId="4C8D98FC">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东</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北侧厂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外</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米处</w:t>
                  </w:r>
                </w:p>
              </w:tc>
              <w:tc>
                <w:tcPr>
                  <w:tcW w:w="693" w:type="dxa"/>
                  <w:tcBorders>
                    <w:tl2br w:val="nil"/>
                    <w:tr2bl w:val="nil"/>
                  </w:tcBorders>
                  <w:noWrap w:val="0"/>
                  <w:vAlign w:val="center"/>
                </w:tcPr>
                <w:p w14:paraId="5C312E90">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类</w:t>
                  </w:r>
                </w:p>
              </w:tc>
              <w:tc>
                <w:tcPr>
                  <w:tcW w:w="1061" w:type="dxa"/>
                  <w:tcBorders>
                    <w:tl2br w:val="nil"/>
                    <w:tr2bl w:val="nil"/>
                  </w:tcBorders>
                  <w:noWrap w:val="0"/>
                  <w:vAlign w:val="center"/>
                </w:tcPr>
                <w:p w14:paraId="66FA5B80">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46.5</w:t>
                  </w:r>
                </w:p>
              </w:tc>
              <w:tc>
                <w:tcPr>
                  <w:tcW w:w="1091" w:type="dxa"/>
                  <w:tcBorders>
                    <w:tl2br w:val="nil"/>
                    <w:tr2bl w:val="nil"/>
                  </w:tcBorders>
                  <w:noWrap w:val="0"/>
                  <w:vAlign w:val="center"/>
                </w:tcPr>
                <w:p w14:paraId="30D9D611">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1052" w:type="dxa"/>
                  <w:tcBorders>
                    <w:tl2br w:val="nil"/>
                    <w:tr2bl w:val="nil"/>
                  </w:tcBorders>
                  <w:noWrap w:val="0"/>
                  <w:vAlign w:val="center"/>
                </w:tcPr>
                <w:p w14:paraId="5E613FF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42.3</w:t>
                  </w:r>
                </w:p>
              </w:tc>
              <w:tc>
                <w:tcPr>
                  <w:tcW w:w="1078" w:type="dxa"/>
                  <w:tcBorders>
                    <w:tl2br w:val="nil"/>
                    <w:tr2bl w:val="nil"/>
                  </w:tcBorders>
                  <w:noWrap w:val="0"/>
                  <w:vAlign w:val="center"/>
                </w:tcPr>
                <w:p w14:paraId="6CA07CF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809" w:type="dxa"/>
                  <w:tcBorders>
                    <w:tl2br w:val="nil"/>
                    <w:tr2bl w:val="nil"/>
                  </w:tcBorders>
                  <w:noWrap w:val="0"/>
                  <w:vAlign w:val="center"/>
                </w:tcPr>
                <w:p w14:paraId="07592BF5">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7DEB8A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noWrap w:val="0"/>
                  <w:vAlign w:val="center"/>
                </w:tcPr>
                <w:p w14:paraId="4C89A22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N2</w:t>
                  </w:r>
                </w:p>
              </w:tc>
              <w:tc>
                <w:tcPr>
                  <w:tcW w:w="2252" w:type="dxa"/>
                  <w:tcBorders>
                    <w:tl2br w:val="nil"/>
                    <w:tr2bl w:val="nil"/>
                  </w:tcBorders>
                  <w:noWrap w:val="0"/>
                  <w:vAlign w:val="center"/>
                </w:tcPr>
                <w:p w14:paraId="23DBA24F">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东</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南侧厂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外</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米处</w:t>
                  </w:r>
                </w:p>
              </w:tc>
              <w:tc>
                <w:tcPr>
                  <w:tcW w:w="693" w:type="dxa"/>
                  <w:tcBorders>
                    <w:tl2br w:val="nil"/>
                    <w:tr2bl w:val="nil"/>
                  </w:tcBorders>
                  <w:noWrap w:val="0"/>
                  <w:vAlign w:val="center"/>
                </w:tcPr>
                <w:p w14:paraId="6F78F7D5">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类</w:t>
                  </w:r>
                </w:p>
              </w:tc>
              <w:tc>
                <w:tcPr>
                  <w:tcW w:w="1061" w:type="dxa"/>
                  <w:tcBorders>
                    <w:tl2br w:val="nil"/>
                    <w:tr2bl w:val="nil"/>
                  </w:tcBorders>
                  <w:noWrap w:val="0"/>
                  <w:vAlign w:val="center"/>
                </w:tcPr>
                <w:p w14:paraId="1F7BA87F">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49.6</w:t>
                  </w:r>
                </w:p>
              </w:tc>
              <w:tc>
                <w:tcPr>
                  <w:tcW w:w="1091" w:type="dxa"/>
                  <w:tcBorders>
                    <w:tl2br w:val="nil"/>
                    <w:tr2bl w:val="nil"/>
                  </w:tcBorders>
                  <w:noWrap w:val="0"/>
                  <w:vAlign w:val="center"/>
                </w:tcPr>
                <w:p w14:paraId="167BA8AD">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1052" w:type="dxa"/>
                  <w:tcBorders>
                    <w:tl2br w:val="nil"/>
                    <w:tr2bl w:val="nil"/>
                  </w:tcBorders>
                  <w:noWrap w:val="0"/>
                  <w:vAlign w:val="center"/>
                </w:tcPr>
                <w:p w14:paraId="1C64172F">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44.8</w:t>
                  </w:r>
                </w:p>
              </w:tc>
              <w:tc>
                <w:tcPr>
                  <w:tcW w:w="1078" w:type="dxa"/>
                  <w:tcBorders>
                    <w:tl2br w:val="nil"/>
                    <w:tr2bl w:val="nil"/>
                  </w:tcBorders>
                  <w:noWrap w:val="0"/>
                  <w:vAlign w:val="center"/>
                </w:tcPr>
                <w:p w14:paraId="4BAF0E95">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809" w:type="dxa"/>
                  <w:tcBorders>
                    <w:tl2br w:val="nil"/>
                    <w:tr2bl w:val="nil"/>
                  </w:tcBorders>
                  <w:noWrap w:val="0"/>
                  <w:vAlign w:val="center"/>
                </w:tcPr>
                <w:p w14:paraId="169898C5">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789F44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noWrap w:val="0"/>
                  <w:vAlign w:val="center"/>
                </w:tcPr>
                <w:p w14:paraId="724837F8">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N3</w:t>
                  </w:r>
                </w:p>
              </w:tc>
              <w:tc>
                <w:tcPr>
                  <w:tcW w:w="2252" w:type="dxa"/>
                  <w:tcBorders>
                    <w:tl2br w:val="nil"/>
                    <w:tr2bl w:val="nil"/>
                  </w:tcBorders>
                  <w:noWrap w:val="0"/>
                  <w:vAlign w:val="center"/>
                </w:tcPr>
                <w:p w14:paraId="79D2B44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南厂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外</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米处</w:t>
                  </w:r>
                </w:p>
              </w:tc>
              <w:tc>
                <w:tcPr>
                  <w:tcW w:w="693" w:type="dxa"/>
                  <w:tcBorders>
                    <w:tl2br w:val="nil"/>
                    <w:tr2bl w:val="nil"/>
                  </w:tcBorders>
                  <w:noWrap w:val="0"/>
                  <w:vAlign w:val="center"/>
                </w:tcPr>
                <w:p w14:paraId="060F9F7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类</w:t>
                  </w:r>
                </w:p>
              </w:tc>
              <w:tc>
                <w:tcPr>
                  <w:tcW w:w="1061" w:type="dxa"/>
                  <w:tcBorders>
                    <w:tl2br w:val="nil"/>
                    <w:tr2bl w:val="nil"/>
                  </w:tcBorders>
                  <w:noWrap w:val="0"/>
                  <w:vAlign w:val="center"/>
                </w:tcPr>
                <w:p w14:paraId="7A7AAEC3">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57.5</w:t>
                  </w:r>
                </w:p>
              </w:tc>
              <w:tc>
                <w:tcPr>
                  <w:tcW w:w="1091" w:type="dxa"/>
                  <w:tcBorders>
                    <w:tl2br w:val="nil"/>
                    <w:tr2bl w:val="nil"/>
                  </w:tcBorders>
                  <w:noWrap w:val="0"/>
                  <w:vAlign w:val="center"/>
                </w:tcPr>
                <w:p w14:paraId="2F6BEF94">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1052" w:type="dxa"/>
                  <w:tcBorders>
                    <w:tl2br w:val="nil"/>
                    <w:tr2bl w:val="nil"/>
                  </w:tcBorders>
                  <w:noWrap w:val="0"/>
                  <w:vAlign w:val="center"/>
                </w:tcPr>
                <w:p w14:paraId="7254D64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53.4</w:t>
                  </w:r>
                </w:p>
              </w:tc>
              <w:tc>
                <w:tcPr>
                  <w:tcW w:w="1078" w:type="dxa"/>
                  <w:tcBorders>
                    <w:tl2br w:val="nil"/>
                    <w:tr2bl w:val="nil"/>
                  </w:tcBorders>
                  <w:noWrap w:val="0"/>
                  <w:vAlign w:val="center"/>
                </w:tcPr>
                <w:p w14:paraId="17DDE71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809" w:type="dxa"/>
                  <w:tcBorders>
                    <w:tl2br w:val="nil"/>
                    <w:tr2bl w:val="nil"/>
                  </w:tcBorders>
                  <w:noWrap w:val="0"/>
                  <w:vAlign w:val="center"/>
                </w:tcPr>
                <w:p w14:paraId="1C578458">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39848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noWrap w:val="0"/>
                  <w:vAlign w:val="center"/>
                </w:tcPr>
                <w:p w14:paraId="60A56A3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N4</w:t>
                  </w:r>
                </w:p>
              </w:tc>
              <w:tc>
                <w:tcPr>
                  <w:tcW w:w="2252" w:type="dxa"/>
                  <w:tcBorders>
                    <w:tl2br w:val="nil"/>
                    <w:tr2bl w:val="nil"/>
                  </w:tcBorders>
                  <w:noWrap w:val="0"/>
                  <w:vAlign w:val="center"/>
                </w:tcPr>
                <w:p w14:paraId="22BD3857">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西南侧厂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外</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米处</w:t>
                  </w:r>
                </w:p>
              </w:tc>
              <w:tc>
                <w:tcPr>
                  <w:tcW w:w="693" w:type="dxa"/>
                  <w:tcBorders>
                    <w:tl2br w:val="nil"/>
                    <w:tr2bl w:val="nil"/>
                  </w:tcBorders>
                  <w:noWrap w:val="0"/>
                  <w:vAlign w:val="center"/>
                </w:tcPr>
                <w:p w14:paraId="76103ED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类</w:t>
                  </w:r>
                </w:p>
              </w:tc>
              <w:tc>
                <w:tcPr>
                  <w:tcW w:w="1061" w:type="dxa"/>
                  <w:tcBorders>
                    <w:tl2br w:val="nil"/>
                    <w:tr2bl w:val="nil"/>
                  </w:tcBorders>
                  <w:noWrap w:val="0"/>
                  <w:vAlign w:val="center"/>
                </w:tcPr>
                <w:p w14:paraId="52EB867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58.9</w:t>
                  </w:r>
                </w:p>
              </w:tc>
              <w:tc>
                <w:tcPr>
                  <w:tcW w:w="1091" w:type="dxa"/>
                  <w:tcBorders>
                    <w:tl2br w:val="nil"/>
                    <w:tr2bl w:val="nil"/>
                  </w:tcBorders>
                  <w:noWrap w:val="0"/>
                  <w:vAlign w:val="center"/>
                </w:tcPr>
                <w:p w14:paraId="32501DB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1052" w:type="dxa"/>
                  <w:tcBorders>
                    <w:tl2br w:val="nil"/>
                    <w:tr2bl w:val="nil"/>
                  </w:tcBorders>
                  <w:noWrap w:val="0"/>
                  <w:vAlign w:val="center"/>
                </w:tcPr>
                <w:p w14:paraId="60C23207">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54.8</w:t>
                  </w:r>
                </w:p>
              </w:tc>
              <w:tc>
                <w:tcPr>
                  <w:tcW w:w="1078" w:type="dxa"/>
                  <w:tcBorders>
                    <w:tl2br w:val="nil"/>
                    <w:tr2bl w:val="nil"/>
                  </w:tcBorders>
                  <w:noWrap w:val="0"/>
                  <w:vAlign w:val="center"/>
                </w:tcPr>
                <w:p w14:paraId="5E9F80F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809" w:type="dxa"/>
                  <w:tcBorders>
                    <w:tl2br w:val="nil"/>
                    <w:tr2bl w:val="nil"/>
                  </w:tcBorders>
                  <w:noWrap w:val="0"/>
                  <w:vAlign w:val="center"/>
                </w:tcPr>
                <w:p w14:paraId="55311EA7">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0AA99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shd w:val="clear" w:color="auto" w:fill="auto"/>
                  <w:noWrap w:val="0"/>
                  <w:vAlign w:val="center"/>
                </w:tcPr>
                <w:p w14:paraId="364C25B7">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N5</w:t>
                  </w:r>
                </w:p>
              </w:tc>
              <w:tc>
                <w:tcPr>
                  <w:tcW w:w="2252" w:type="dxa"/>
                  <w:tcBorders>
                    <w:tl2br w:val="nil"/>
                    <w:tr2bl w:val="nil"/>
                  </w:tcBorders>
                  <w:noWrap w:val="0"/>
                  <w:vAlign w:val="center"/>
                </w:tcPr>
                <w:p w14:paraId="2DF08C9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西北侧厂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外</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米处</w:t>
                  </w:r>
                </w:p>
              </w:tc>
              <w:tc>
                <w:tcPr>
                  <w:tcW w:w="693" w:type="dxa"/>
                  <w:tcBorders>
                    <w:tl2br w:val="nil"/>
                    <w:tr2bl w:val="nil"/>
                  </w:tcBorders>
                  <w:noWrap w:val="0"/>
                  <w:vAlign w:val="center"/>
                </w:tcPr>
                <w:p w14:paraId="347039E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类</w:t>
                  </w:r>
                </w:p>
              </w:tc>
              <w:tc>
                <w:tcPr>
                  <w:tcW w:w="1061" w:type="dxa"/>
                  <w:tcBorders>
                    <w:tl2br w:val="nil"/>
                    <w:tr2bl w:val="nil"/>
                  </w:tcBorders>
                  <w:noWrap w:val="0"/>
                  <w:vAlign w:val="center"/>
                </w:tcPr>
                <w:p w14:paraId="0E9BBC20">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60.7</w:t>
                  </w:r>
                </w:p>
              </w:tc>
              <w:tc>
                <w:tcPr>
                  <w:tcW w:w="1091" w:type="dxa"/>
                  <w:tcBorders>
                    <w:tl2br w:val="nil"/>
                    <w:tr2bl w:val="nil"/>
                  </w:tcBorders>
                  <w:noWrap w:val="0"/>
                  <w:vAlign w:val="center"/>
                </w:tcPr>
                <w:p w14:paraId="57C43C14">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1052" w:type="dxa"/>
                  <w:tcBorders>
                    <w:tl2br w:val="nil"/>
                    <w:tr2bl w:val="nil"/>
                  </w:tcBorders>
                  <w:noWrap w:val="0"/>
                  <w:vAlign w:val="center"/>
                </w:tcPr>
                <w:p w14:paraId="6599D87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54.3</w:t>
                  </w:r>
                </w:p>
              </w:tc>
              <w:tc>
                <w:tcPr>
                  <w:tcW w:w="1078" w:type="dxa"/>
                  <w:tcBorders>
                    <w:tl2br w:val="nil"/>
                    <w:tr2bl w:val="nil"/>
                  </w:tcBorders>
                  <w:noWrap w:val="0"/>
                  <w:vAlign w:val="center"/>
                </w:tcPr>
                <w:p w14:paraId="7D8EC3A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809" w:type="dxa"/>
                  <w:tcBorders>
                    <w:tl2br w:val="nil"/>
                    <w:tr2bl w:val="nil"/>
                  </w:tcBorders>
                  <w:noWrap w:val="0"/>
                  <w:vAlign w:val="center"/>
                </w:tcPr>
                <w:p w14:paraId="28A0B3A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75DAB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shd w:val="clear" w:color="auto" w:fill="auto"/>
                  <w:noWrap w:val="0"/>
                  <w:vAlign w:val="center"/>
                </w:tcPr>
                <w:p w14:paraId="391FA77C">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N6</w:t>
                  </w:r>
                </w:p>
              </w:tc>
              <w:tc>
                <w:tcPr>
                  <w:tcW w:w="2252" w:type="dxa"/>
                  <w:tcBorders>
                    <w:tl2br w:val="nil"/>
                    <w:tr2bl w:val="nil"/>
                  </w:tcBorders>
                  <w:shd w:val="clear" w:color="auto" w:fill="auto"/>
                  <w:noWrap w:val="0"/>
                  <w:vAlign w:val="center"/>
                </w:tcPr>
                <w:p w14:paraId="0D1BA598">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lang w:val="en-US" w:eastAsia="zh-CN"/>
                      <w14:textFill>
                        <w14:solidFill>
                          <w14:schemeClr w14:val="tx1"/>
                        </w14:solidFill>
                      </w14:textFill>
                    </w:rPr>
                    <w:t>平运路三弄</w:t>
                  </w:r>
                </w:p>
              </w:tc>
              <w:tc>
                <w:tcPr>
                  <w:tcW w:w="693" w:type="dxa"/>
                  <w:tcBorders>
                    <w:tl2br w:val="nil"/>
                    <w:tr2bl w:val="nil"/>
                  </w:tcBorders>
                  <w:noWrap w:val="0"/>
                  <w:vAlign w:val="center"/>
                </w:tcPr>
                <w:p w14:paraId="5494E1F5">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2类</w:t>
                  </w:r>
                </w:p>
              </w:tc>
              <w:tc>
                <w:tcPr>
                  <w:tcW w:w="1061" w:type="dxa"/>
                  <w:tcBorders>
                    <w:tl2br w:val="nil"/>
                    <w:tr2bl w:val="nil"/>
                  </w:tcBorders>
                  <w:noWrap w:val="0"/>
                  <w:vAlign w:val="center"/>
                </w:tcPr>
                <w:p w14:paraId="758F0D80">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53.4</w:t>
                  </w:r>
                </w:p>
              </w:tc>
              <w:tc>
                <w:tcPr>
                  <w:tcW w:w="1091" w:type="dxa"/>
                  <w:tcBorders>
                    <w:tl2br w:val="nil"/>
                    <w:tr2bl w:val="nil"/>
                  </w:tcBorders>
                  <w:noWrap w:val="0"/>
                  <w:vAlign w:val="center"/>
                </w:tcPr>
                <w:p w14:paraId="39E10923">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w:t>
                  </w:r>
                </w:p>
              </w:tc>
              <w:tc>
                <w:tcPr>
                  <w:tcW w:w="1052" w:type="dxa"/>
                  <w:tcBorders>
                    <w:tl2br w:val="nil"/>
                    <w:tr2bl w:val="nil"/>
                  </w:tcBorders>
                  <w:noWrap w:val="0"/>
                  <w:vAlign w:val="center"/>
                </w:tcPr>
                <w:p w14:paraId="6BA3BC5B">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43.2</w:t>
                  </w:r>
                </w:p>
              </w:tc>
              <w:tc>
                <w:tcPr>
                  <w:tcW w:w="1078" w:type="dxa"/>
                  <w:tcBorders>
                    <w:tl2br w:val="nil"/>
                    <w:tr2bl w:val="nil"/>
                  </w:tcBorders>
                  <w:noWrap w:val="0"/>
                  <w:vAlign w:val="center"/>
                </w:tcPr>
                <w:p w14:paraId="5441387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50</w:t>
                  </w:r>
                </w:p>
              </w:tc>
              <w:tc>
                <w:tcPr>
                  <w:tcW w:w="809" w:type="dxa"/>
                  <w:tcBorders>
                    <w:tl2br w:val="nil"/>
                    <w:tr2bl w:val="nil"/>
                  </w:tcBorders>
                  <w:noWrap w:val="0"/>
                  <w:vAlign w:val="center"/>
                </w:tcPr>
                <w:p w14:paraId="6DB30BA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073E9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shd w:val="clear" w:color="auto" w:fill="auto"/>
                  <w:noWrap w:val="0"/>
                  <w:vAlign w:val="center"/>
                </w:tcPr>
                <w:p w14:paraId="59B1CFA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N7</w:t>
                  </w:r>
                </w:p>
              </w:tc>
              <w:tc>
                <w:tcPr>
                  <w:tcW w:w="2252" w:type="dxa"/>
                  <w:tcBorders>
                    <w:tl2br w:val="nil"/>
                    <w:tr2bl w:val="nil"/>
                  </w:tcBorders>
                  <w:shd w:val="clear" w:color="auto" w:fill="auto"/>
                  <w:noWrap w:val="0"/>
                  <w:vAlign w:val="center"/>
                </w:tcPr>
                <w:p w14:paraId="18D8E863">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平运路33号</w:t>
                  </w:r>
                </w:p>
              </w:tc>
              <w:tc>
                <w:tcPr>
                  <w:tcW w:w="693" w:type="dxa"/>
                  <w:tcBorders>
                    <w:tl2br w:val="nil"/>
                    <w:tr2bl w:val="nil"/>
                  </w:tcBorders>
                  <w:noWrap w:val="0"/>
                  <w:vAlign w:val="center"/>
                </w:tcPr>
                <w:p w14:paraId="0EEEC0E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2类</w:t>
                  </w:r>
                </w:p>
              </w:tc>
              <w:tc>
                <w:tcPr>
                  <w:tcW w:w="1061" w:type="dxa"/>
                  <w:tcBorders>
                    <w:tl2br w:val="nil"/>
                    <w:tr2bl w:val="nil"/>
                  </w:tcBorders>
                  <w:noWrap w:val="0"/>
                  <w:vAlign w:val="center"/>
                </w:tcPr>
                <w:p w14:paraId="0469277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52.7</w:t>
                  </w:r>
                </w:p>
              </w:tc>
              <w:tc>
                <w:tcPr>
                  <w:tcW w:w="1091" w:type="dxa"/>
                  <w:tcBorders>
                    <w:tl2br w:val="nil"/>
                    <w:tr2bl w:val="nil"/>
                  </w:tcBorders>
                  <w:noWrap w:val="0"/>
                  <w:vAlign w:val="center"/>
                </w:tcPr>
                <w:p w14:paraId="4C7D1171">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w:t>
                  </w:r>
                </w:p>
              </w:tc>
              <w:tc>
                <w:tcPr>
                  <w:tcW w:w="1052" w:type="dxa"/>
                  <w:tcBorders>
                    <w:tl2br w:val="nil"/>
                    <w:tr2bl w:val="nil"/>
                  </w:tcBorders>
                  <w:noWrap w:val="0"/>
                  <w:vAlign w:val="center"/>
                </w:tcPr>
                <w:p w14:paraId="2E165CA2">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45.7</w:t>
                  </w:r>
                </w:p>
              </w:tc>
              <w:tc>
                <w:tcPr>
                  <w:tcW w:w="1078" w:type="dxa"/>
                  <w:tcBorders>
                    <w:tl2br w:val="nil"/>
                    <w:tr2bl w:val="nil"/>
                  </w:tcBorders>
                  <w:noWrap w:val="0"/>
                  <w:vAlign w:val="center"/>
                </w:tcPr>
                <w:p w14:paraId="7A30E243">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50</w:t>
                  </w:r>
                </w:p>
              </w:tc>
              <w:tc>
                <w:tcPr>
                  <w:tcW w:w="809" w:type="dxa"/>
                  <w:tcBorders>
                    <w:tl2br w:val="nil"/>
                    <w:tr2bl w:val="nil"/>
                  </w:tcBorders>
                  <w:noWrap w:val="0"/>
                  <w:vAlign w:val="center"/>
                </w:tcPr>
                <w:p w14:paraId="25750201">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0CA6D2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shd w:val="clear" w:color="auto" w:fill="auto"/>
                  <w:noWrap w:val="0"/>
                  <w:vAlign w:val="center"/>
                </w:tcPr>
                <w:p w14:paraId="272A4EC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N8</w:t>
                  </w:r>
                </w:p>
              </w:tc>
              <w:tc>
                <w:tcPr>
                  <w:tcW w:w="2252" w:type="dxa"/>
                  <w:tcBorders>
                    <w:tl2br w:val="nil"/>
                    <w:tr2bl w:val="nil"/>
                  </w:tcBorders>
                  <w:shd w:val="clear" w:color="auto" w:fill="auto"/>
                  <w:noWrap w:val="0"/>
                  <w:vAlign w:val="center"/>
                </w:tcPr>
                <w:p w14:paraId="36422582">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平运路37号</w:t>
                  </w:r>
                </w:p>
              </w:tc>
              <w:tc>
                <w:tcPr>
                  <w:tcW w:w="693" w:type="dxa"/>
                  <w:tcBorders>
                    <w:tl2br w:val="nil"/>
                    <w:tr2bl w:val="nil"/>
                  </w:tcBorders>
                  <w:noWrap w:val="0"/>
                  <w:vAlign w:val="center"/>
                </w:tcPr>
                <w:p w14:paraId="625A8433">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2类</w:t>
                  </w:r>
                </w:p>
              </w:tc>
              <w:tc>
                <w:tcPr>
                  <w:tcW w:w="1061" w:type="dxa"/>
                  <w:tcBorders>
                    <w:tl2br w:val="nil"/>
                    <w:tr2bl w:val="nil"/>
                  </w:tcBorders>
                  <w:shd w:val="clear" w:color="auto" w:fill="auto"/>
                  <w:noWrap w:val="0"/>
                  <w:vAlign w:val="center"/>
                </w:tcPr>
                <w:p w14:paraId="4442A45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54.6</w:t>
                  </w:r>
                </w:p>
              </w:tc>
              <w:tc>
                <w:tcPr>
                  <w:tcW w:w="1091" w:type="dxa"/>
                  <w:tcBorders>
                    <w:tl2br w:val="nil"/>
                    <w:tr2bl w:val="nil"/>
                  </w:tcBorders>
                  <w:shd w:val="clear" w:color="auto" w:fill="auto"/>
                  <w:noWrap w:val="0"/>
                  <w:vAlign w:val="center"/>
                </w:tcPr>
                <w:p w14:paraId="297C9A2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w:t>
                  </w:r>
                </w:p>
              </w:tc>
              <w:tc>
                <w:tcPr>
                  <w:tcW w:w="1052" w:type="dxa"/>
                  <w:tcBorders>
                    <w:tl2br w:val="nil"/>
                    <w:tr2bl w:val="nil"/>
                  </w:tcBorders>
                  <w:shd w:val="clear" w:color="auto" w:fill="auto"/>
                  <w:noWrap w:val="0"/>
                  <w:vAlign w:val="center"/>
                </w:tcPr>
                <w:p w14:paraId="6537DA16">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42.9</w:t>
                  </w:r>
                </w:p>
              </w:tc>
              <w:tc>
                <w:tcPr>
                  <w:tcW w:w="1078" w:type="dxa"/>
                  <w:tcBorders>
                    <w:tl2br w:val="nil"/>
                    <w:tr2bl w:val="nil"/>
                  </w:tcBorders>
                  <w:noWrap w:val="0"/>
                  <w:vAlign w:val="center"/>
                </w:tcPr>
                <w:p w14:paraId="4D9FB17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50</w:t>
                  </w:r>
                </w:p>
              </w:tc>
              <w:tc>
                <w:tcPr>
                  <w:tcW w:w="809" w:type="dxa"/>
                  <w:tcBorders>
                    <w:tl2br w:val="nil"/>
                    <w:tr2bl w:val="nil"/>
                  </w:tcBorders>
                  <w:noWrap w:val="0"/>
                  <w:vAlign w:val="center"/>
                </w:tcPr>
                <w:p w14:paraId="222949B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r w14:paraId="7CE32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4" w:type="dxa"/>
                  <w:tcBorders>
                    <w:tl2br w:val="nil"/>
                    <w:tr2bl w:val="nil"/>
                  </w:tcBorders>
                  <w:noWrap w:val="0"/>
                  <w:vAlign w:val="center"/>
                </w:tcPr>
                <w:p w14:paraId="48E59F60">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N9</w:t>
                  </w:r>
                </w:p>
              </w:tc>
              <w:tc>
                <w:tcPr>
                  <w:tcW w:w="2252" w:type="dxa"/>
                  <w:tcBorders>
                    <w:tl2br w:val="nil"/>
                    <w:tr2bl w:val="nil"/>
                  </w:tcBorders>
                  <w:shd w:val="clear" w:color="auto" w:fill="auto"/>
                  <w:noWrap w:val="0"/>
                  <w:vAlign w:val="center"/>
                </w:tcPr>
                <w:p w14:paraId="67F90DED">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南斯港社区</w:t>
                  </w:r>
                </w:p>
              </w:tc>
              <w:tc>
                <w:tcPr>
                  <w:tcW w:w="693" w:type="dxa"/>
                  <w:tcBorders>
                    <w:tl2br w:val="nil"/>
                    <w:tr2bl w:val="nil"/>
                  </w:tcBorders>
                  <w:noWrap w:val="0"/>
                  <w:vAlign w:val="center"/>
                </w:tcPr>
                <w:p w14:paraId="24DDD00A">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2类</w:t>
                  </w:r>
                </w:p>
              </w:tc>
              <w:tc>
                <w:tcPr>
                  <w:tcW w:w="1061" w:type="dxa"/>
                  <w:tcBorders>
                    <w:tl2br w:val="nil"/>
                    <w:tr2bl w:val="nil"/>
                  </w:tcBorders>
                  <w:noWrap w:val="0"/>
                  <w:vAlign w:val="center"/>
                </w:tcPr>
                <w:p w14:paraId="061A100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55.3</w:t>
                  </w:r>
                </w:p>
              </w:tc>
              <w:tc>
                <w:tcPr>
                  <w:tcW w:w="1091" w:type="dxa"/>
                  <w:tcBorders>
                    <w:tl2br w:val="nil"/>
                    <w:tr2bl w:val="nil"/>
                  </w:tcBorders>
                  <w:noWrap w:val="0"/>
                  <w:vAlign w:val="center"/>
                </w:tcPr>
                <w:p w14:paraId="5BD9AD1C">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w:t>
                  </w:r>
                </w:p>
              </w:tc>
              <w:tc>
                <w:tcPr>
                  <w:tcW w:w="1052" w:type="dxa"/>
                  <w:tcBorders>
                    <w:tl2br w:val="nil"/>
                    <w:tr2bl w:val="nil"/>
                  </w:tcBorders>
                  <w:noWrap w:val="0"/>
                  <w:vAlign w:val="center"/>
                </w:tcPr>
                <w:p w14:paraId="1251340E">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45.4</w:t>
                  </w:r>
                </w:p>
              </w:tc>
              <w:tc>
                <w:tcPr>
                  <w:tcW w:w="1078" w:type="dxa"/>
                  <w:tcBorders>
                    <w:tl2br w:val="nil"/>
                    <w:tr2bl w:val="nil"/>
                  </w:tcBorders>
                  <w:noWrap w:val="0"/>
                  <w:vAlign w:val="center"/>
                </w:tcPr>
                <w:p w14:paraId="28FEE33C">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50</w:t>
                  </w:r>
                </w:p>
              </w:tc>
              <w:tc>
                <w:tcPr>
                  <w:tcW w:w="809" w:type="dxa"/>
                  <w:tcBorders>
                    <w:tl2br w:val="nil"/>
                    <w:tr2bl w:val="nil"/>
                  </w:tcBorders>
                  <w:noWrap w:val="0"/>
                  <w:vAlign w:val="center"/>
                </w:tcPr>
                <w:p w14:paraId="36805D29">
                  <w:pPr>
                    <w:adjustRightInd w:val="0"/>
                    <w:snapToGrid w:val="0"/>
                    <w:spacing w:line="240" w:lineRule="auto"/>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达标</w:t>
                  </w:r>
                </w:p>
              </w:tc>
            </w:tr>
          </w:tbl>
          <w:p w14:paraId="65E58ECB">
            <w:pPr>
              <w:adjustRightInd w:val="0"/>
              <w:snapToGrid w:val="0"/>
              <w:spacing w:line="48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监测结果表明项目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厂界</w:t>
            </w:r>
            <w:r>
              <w:rPr>
                <w:rFonts w:hint="default" w:ascii="Times New Roman" w:hAnsi="Times New Roman" w:eastAsia="宋体" w:cs="Times New Roman"/>
                <w:color w:val="000000" w:themeColor="text1"/>
                <w:szCs w:val="21"/>
                <w:highlight w:val="none"/>
                <w14:textFill>
                  <w14:solidFill>
                    <w14:schemeClr w14:val="tx1"/>
                  </w14:solidFill>
                </w14:textFill>
              </w:rPr>
              <w:t>四周</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噪声</w:t>
            </w:r>
            <w:r>
              <w:rPr>
                <w:rFonts w:hint="default" w:ascii="Times New Roman" w:hAnsi="Times New Roman" w:eastAsia="宋体" w:cs="Times New Roman"/>
                <w:color w:val="000000" w:themeColor="text1"/>
                <w:szCs w:val="21"/>
                <w:highlight w:val="none"/>
                <w14:textFill>
                  <w14:solidFill>
                    <w14:schemeClr w14:val="tx1"/>
                  </w14:solidFill>
                </w14:textFill>
              </w:rPr>
              <w:t>均能达到《声环境质量标准》（GB3096-2008）中的</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类标准，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敏感目标（平运路三弄、</w:t>
            </w:r>
            <w:r>
              <w:rPr>
                <w:rFonts w:hint="default" w:ascii="Times New Roman" w:hAnsi="Times New Roman" w:eastAsia="宋体" w:cs="Times New Roman"/>
                <w:color w:val="000000" w:themeColor="text1"/>
                <w:szCs w:val="21"/>
                <w:highlight w:val="none"/>
                <w14:textFill>
                  <w14:solidFill>
                    <w14:schemeClr w14:val="tx1"/>
                  </w14:solidFill>
                </w14:textFill>
              </w:rPr>
              <w:t>平运路33号</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平运路37号</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南斯港社区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）噪声</w:t>
            </w:r>
            <w:r>
              <w:rPr>
                <w:rFonts w:hint="default" w:ascii="Times New Roman" w:hAnsi="Times New Roman" w:eastAsia="宋体" w:cs="Times New Roman"/>
                <w:color w:val="000000" w:themeColor="text1"/>
                <w:szCs w:val="21"/>
                <w:highlight w:val="none"/>
                <w14:textFill>
                  <w14:solidFill>
                    <w14:schemeClr w14:val="tx1"/>
                  </w14:solidFill>
                </w14:textFill>
              </w:rPr>
              <w:t>均能达到《声环境质量标准》（GB3096-2008）中的</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类标准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表明项目所在地声环境质量良好。</w:t>
            </w:r>
          </w:p>
          <w:p w14:paraId="5A0E6A91">
            <w:pPr>
              <w:spacing w:line="480" w:lineRule="exac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4、生态环境现状</w:t>
            </w:r>
          </w:p>
          <w:p w14:paraId="413070FB">
            <w:pPr>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本期项目位于苏州市</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szCs w:val="21"/>
                <w:highlight w:val="none"/>
                <w14:textFill>
                  <w14:solidFill>
                    <w14:schemeClr w14:val="tx1"/>
                  </w14:solidFill>
                </w14:textFill>
              </w:rPr>
              <w:t>，属于</w:t>
            </w:r>
            <w:r>
              <w:rPr>
                <w:rFonts w:hint="default" w:ascii="Times New Roman" w:hAnsi="Times New Roman" w:eastAsia="宋体" w:cs="Times New Roman"/>
                <w:color w:val="000000" w:themeColor="text1"/>
                <w:kern w:val="0"/>
                <w:szCs w:val="21"/>
                <w:highlight w:val="none"/>
                <w14:textFill>
                  <w14:solidFill>
                    <w14:schemeClr w14:val="tx1"/>
                  </w14:solidFill>
                </w14:textFill>
              </w:rPr>
              <w:t>华电工业集聚区</w:t>
            </w:r>
            <w:r>
              <w:rPr>
                <w:rFonts w:hint="default" w:ascii="Times New Roman" w:hAnsi="Times New Roman" w:eastAsia="宋体" w:cs="Times New Roman"/>
                <w:color w:val="000000" w:themeColor="text1"/>
                <w:highlight w:val="none"/>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根据《建设项目环境影响报告表编制技术指南》（污染影响类）（试行）的要求，不需要进行生态现状调查。</w:t>
            </w:r>
          </w:p>
          <w:p w14:paraId="36BB33D6">
            <w:pPr>
              <w:spacing w:line="440" w:lineRule="exac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5、电磁辐射</w:t>
            </w:r>
          </w:p>
          <w:p w14:paraId="18683466">
            <w:pPr>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本期项目不涉及。</w:t>
            </w:r>
          </w:p>
          <w:p w14:paraId="02AB4866">
            <w:pPr>
              <w:spacing w:line="440" w:lineRule="exac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6、地下水、土壤环境</w:t>
            </w:r>
          </w:p>
          <w:p w14:paraId="5681BF3F">
            <w:pPr>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危险废物储存于室内，且室内已做好水泥硬化和防渗防漏，因此不存在土壤、地下水环境污染途径，根据《建设项目环境影响报告表编制技术指南》（污染影响类）（试行）的要求，不需要进行地下水和土壤现状调查。</w:t>
            </w:r>
          </w:p>
        </w:tc>
      </w:tr>
      <w:tr w14:paraId="6B4AE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0" w:hRule="atLeast"/>
          <w:jc w:val="center"/>
        </w:trPr>
        <w:tc>
          <w:tcPr>
            <w:tcW w:w="640" w:type="dxa"/>
            <w:vAlign w:val="center"/>
          </w:tcPr>
          <w:p w14:paraId="2CB4CD18">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环境保护目标</w:t>
            </w:r>
          </w:p>
        </w:tc>
        <w:tc>
          <w:tcPr>
            <w:tcW w:w="8350" w:type="dxa"/>
            <w:vAlign w:val="center"/>
          </w:tcPr>
          <w:p w14:paraId="292E2059">
            <w:pPr>
              <w:adjustRightInd w:val="0"/>
              <w:snapToGrid w:val="0"/>
              <w:spacing w:line="480" w:lineRule="exact"/>
              <w:ind w:firstLine="422"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1、大气环境</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：本期项目位于苏州市</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szCs w:val="21"/>
                <w:highlight w:val="none"/>
                <w14:textFill>
                  <w14:solidFill>
                    <w14:schemeClr w14:val="tx1"/>
                  </w14:solidFill>
                </w14:textFill>
              </w:rPr>
              <w:t>，周围500m范围内保护目标见表3-2。</w:t>
            </w:r>
          </w:p>
          <w:p w14:paraId="67E87FD1">
            <w:pPr>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表</w:t>
            </w:r>
            <w:r>
              <w:rPr>
                <w:rFonts w:hint="default" w:ascii="Times New Roman" w:hAnsi="Times New Roman" w:eastAsia="宋体" w:cs="Times New Roman"/>
                <w:color w:val="000000" w:themeColor="text1"/>
                <w:sz w:val="21"/>
                <w:szCs w:val="21"/>
                <w:highlight w:val="none"/>
                <w14:textFill>
                  <w14:solidFill>
                    <w14:schemeClr w14:val="tx1"/>
                  </w14:solidFill>
                </w14:textFill>
              </w:rPr>
              <w:t>3-2  环境空气保护目标</w:t>
            </w:r>
          </w:p>
          <w:tbl>
            <w:tblPr>
              <w:tblStyle w:val="3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722"/>
              <w:gridCol w:w="770"/>
              <w:gridCol w:w="703"/>
              <w:gridCol w:w="1116"/>
              <w:gridCol w:w="1283"/>
              <w:gridCol w:w="871"/>
              <w:gridCol w:w="1091"/>
            </w:tblGrid>
            <w:tr w14:paraId="184E8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645" w:type="dxa"/>
                  <w:vMerge w:val="restart"/>
                  <w:tcBorders>
                    <w:tl2br w:val="nil"/>
                    <w:tr2bl w:val="nil"/>
                  </w:tcBorders>
                  <w:vAlign w:val="center"/>
                </w:tcPr>
                <w:p w14:paraId="58E67269">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名称</w:t>
                  </w:r>
                </w:p>
              </w:tc>
              <w:tc>
                <w:tcPr>
                  <w:tcW w:w="1492" w:type="dxa"/>
                  <w:gridSpan w:val="2"/>
                  <w:tcBorders>
                    <w:tl2br w:val="nil"/>
                    <w:tr2bl w:val="nil"/>
                  </w:tcBorders>
                  <w:vAlign w:val="center"/>
                </w:tcPr>
                <w:p w14:paraId="12CE9B80">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坐标/m</w:t>
                  </w:r>
                </w:p>
              </w:tc>
              <w:tc>
                <w:tcPr>
                  <w:tcW w:w="703" w:type="dxa"/>
                  <w:vMerge w:val="restart"/>
                  <w:tcBorders>
                    <w:tl2br w:val="nil"/>
                    <w:tr2bl w:val="nil"/>
                  </w:tcBorders>
                  <w:vAlign w:val="center"/>
                </w:tcPr>
                <w:p w14:paraId="0A758470">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保护对象</w:t>
                  </w:r>
                </w:p>
              </w:tc>
              <w:tc>
                <w:tcPr>
                  <w:tcW w:w="1116" w:type="dxa"/>
                  <w:vMerge w:val="restart"/>
                  <w:tcBorders>
                    <w:tl2br w:val="nil"/>
                    <w:tr2bl w:val="nil"/>
                  </w:tcBorders>
                  <w:vAlign w:val="center"/>
                </w:tcPr>
                <w:p w14:paraId="2DABC739">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保护内容</w:t>
                  </w:r>
                </w:p>
              </w:tc>
              <w:tc>
                <w:tcPr>
                  <w:tcW w:w="1283" w:type="dxa"/>
                  <w:vMerge w:val="restart"/>
                  <w:tcBorders>
                    <w:tl2br w:val="nil"/>
                    <w:tr2bl w:val="nil"/>
                  </w:tcBorders>
                  <w:vAlign w:val="center"/>
                </w:tcPr>
                <w:p w14:paraId="2CE7E43F">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环境功能区</w:t>
                  </w:r>
                </w:p>
              </w:tc>
              <w:tc>
                <w:tcPr>
                  <w:tcW w:w="871" w:type="dxa"/>
                  <w:vMerge w:val="restart"/>
                  <w:tcBorders>
                    <w:tl2br w:val="nil"/>
                    <w:tr2bl w:val="nil"/>
                  </w:tcBorders>
                  <w:vAlign w:val="center"/>
                </w:tcPr>
                <w:p w14:paraId="74C55ACC">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相对厂址方位</w:t>
                  </w:r>
                </w:p>
              </w:tc>
              <w:tc>
                <w:tcPr>
                  <w:tcW w:w="1091" w:type="dxa"/>
                  <w:vMerge w:val="restart"/>
                  <w:tcBorders>
                    <w:tl2br w:val="nil"/>
                    <w:tr2bl w:val="nil"/>
                  </w:tcBorders>
                  <w:vAlign w:val="center"/>
                </w:tcPr>
                <w:p w14:paraId="51D6B6B7">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相对厂界距离/m</w:t>
                  </w:r>
                </w:p>
              </w:tc>
            </w:tr>
            <w:tr w14:paraId="5DFD7E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vMerge w:val="continue"/>
                  <w:tcBorders>
                    <w:tl2br w:val="nil"/>
                    <w:tr2bl w:val="nil"/>
                  </w:tcBorders>
                  <w:vAlign w:val="center"/>
                </w:tcPr>
                <w:p w14:paraId="490168DE">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722" w:type="dxa"/>
                  <w:tcBorders>
                    <w:tl2br w:val="nil"/>
                    <w:tr2bl w:val="nil"/>
                  </w:tcBorders>
                  <w:vAlign w:val="center"/>
                </w:tcPr>
                <w:p w14:paraId="32880462">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X</w:t>
                  </w:r>
                </w:p>
              </w:tc>
              <w:tc>
                <w:tcPr>
                  <w:tcW w:w="770" w:type="dxa"/>
                  <w:tcBorders>
                    <w:tl2br w:val="nil"/>
                    <w:tr2bl w:val="nil"/>
                  </w:tcBorders>
                  <w:vAlign w:val="center"/>
                </w:tcPr>
                <w:p w14:paraId="48DE8E17">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Y</w:t>
                  </w:r>
                </w:p>
              </w:tc>
              <w:tc>
                <w:tcPr>
                  <w:tcW w:w="703" w:type="dxa"/>
                  <w:vMerge w:val="continue"/>
                  <w:tcBorders>
                    <w:tl2br w:val="nil"/>
                    <w:tr2bl w:val="nil"/>
                  </w:tcBorders>
                  <w:vAlign w:val="center"/>
                </w:tcPr>
                <w:p w14:paraId="0E8A04E9">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116" w:type="dxa"/>
                  <w:vMerge w:val="continue"/>
                  <w:tcBorders>
                    <w:tl2br w:val="nil"/>
                    <w:tr2bl w:val="nil"/>
                  </w:tcBorders>
                  <w:vAlign w:val="center"/>
                </w:tcPr>
                <w:p w14:paraId="7C95C023">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283" w:type="dxa"/>
                  <w:vMerge w:val="continue"/>
                  <w:tcBorders>
                    <w:tl2br w:val="nil"/>
                    <w:tr2bl w:val="nil"/>
                  </w:tcBorders>
                  <w:vAlign w:val="center"/>
                </w:tcPr>
                <w:p w14:paraId="45D0AE94">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871" w:type="dxa"/>
                  <w:vMerge w:val="continue"/>
                  <w:tcBorders>
                    <w:tl2br w:val="nil"/>
                    <w:tr2bl w:val="nil"/>
                  </w:tcBorders>
                  <w:vAlign w:val="center"/>
                </w:tcPr>
                <w:p w14:paraId="6ED35370">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091" w:type="dxa"/>
                  <w:vMerge w:val="continue"/>
                  <w:tcBorders>
                    <w:tl2br w:val="nil"/>
                    <w:tr2bl w:val="nil"/>
                  </w:tcBorders>
                  <w:vAlign w:val="center"/>
                </w:tcPr>
                <w:p w14:paraId="63DEB046">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r>
            <w:tr w14:paraId="77172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69639B8D">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平运路33号</w:t>
                  </w:r>
                </w:p>
              </w:tc>
              <w:tc>
                <w:tcPr>
                  <w:tcW w:w="722" w:type="dxa"/>
                  <w:tcBorders>
                    <w:tl2br w:val="nil"/>
                    <w:tr2bl w:val="nil"/>
                  </w:tcBorders>
                  <w:shd w:val="clear" w:color="auto" w:fill="auto"/>
                  <w:vAlign w:val="center"/>
                </w:tcPr>
                <w:p w14:paraId="4C90B103">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102</w:t>
                  </w:r>
                </w:p>
              </w:tc>
              <w:tc>
                <w:tcPr>
                  <w:tcW w:w="770" w:type="dxa"/>
                  <w:tcBorders>
                    <w:tl2br w:val="nil"/>
                    <w:tr2bl w:val="nil"/>
                  </w:tcBorders>
                  <w:shd w:val="clear" w:color="auto" w:fill="auto"/>
                  <w:vAlign w:val="center"/>
                </w:tcPr>
                <w:p w14:paraId="5021AEDC">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163</w:t>
                  </w:r>
                </w:p>
              </w:tc>
              <w:tc>
                <w:tcPr>
                  <w:tcW w:w="703" w:type="dxa"/>
                  <w:tcBorders>
                    <w:tl2br w:val="nil"/>
                    <w:tr2bl w:val="nil"/>
                  </w:tcBorders>
                  <w:shd w:val="clear" w:color="auto" w:fill="auto"/>
                  <w:vAlign w:val="center"/>
                </w:tcPr>
                <w:p w14:paraId="130549AE">
                  <w:pPr>
                    <w:spacing w:line="240" w:lineRule="auto"/>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116" w:type="dxa"/>
                  <w:tcBorders>
                    <w:tl2br w:val="nil"/>
                    <w:tr2bl w:val="nil"/>
                  </w:tcBorders>
                  <w:shd w:val="clear" w:color="auto" w:fill="auto"/>
                  <w:vAlign w:val="center"/>
                </w:tcPr>
                <w:p w14:paraId="3F57D198">
                  <w:pPr>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约24户</w:t>
                  </w:r>
                </w:p>
              </w:tc>
              <w:tc>
                <w:tcPr>
                  <w:tcW w:w="1283" w:type="dxa"/>
                  <w:vMerge w:val="restart"/>
                  <w:tcBorders>
                    <w:tl2br w:val="nil"/>
                    <w:tr2bl w:val="nil"/>
                  </w:tcBorders>
                  <w:shd w:val="clear" w:color="auto" w:fill="auto"/>
                  <w:vAlign w:val="center"/>
                </w:tcPr>
                <w:p w14:paraId="20EAB850">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r>
                    <w:rPr>
                      <w:snapToGrid w:val="0"/>
                      <w:color w:val="000000" w:themeColor="text1"/>
                      <w:sz w:val="18"/>
                      <w:szCs w:val="18"/>
                      <w:highlight w:val="none"/>
                      <w14:textFill>
                        <w14:solidFill>
                          <w14:schemeClr w14:val="tx1"/>
                        </w14:solidFill>
                      </w14:textFill>
                    </w:rPr>
                    <w:t>《环境空气质量标准》（GB3095-2012）二类功能区</w:t>
                  </w:r>
                </w:p>
              </w:tc>
              <w:tc>
                <w:tcPr>
                  <w:tcW w:w="871" w:type="dxa"/>
                  <w:tcBorders>
                    <w:tl2br w:val="nil"/>
                    <w:tr2bl w:val="nil"/>
                  </w:tcBorders>
                  <w:shd w:val="clear" w:color="auto" w:fill="auto"/>
                  <w:vAlign w:val="center"/>
                </w:tcPr>
                <w:p w14:paraId="20DA5C03">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东北</w:t>
                  </w:r>
                </w:p>
              </w:tc>
              <w:tc>
                <w:tcPr>
                  <w:tcW w:w="1091" w:type="dxa"/>
                  <w:tcBorders>
                    <w:tl2br w:val="nil"/>
                    <w:tr2bl w:val="nil"/>
                  </w:tcBorders>
                  <w:shd w:val="clear" w:color="auto" w:fill="auto"/>
                  <w:vAlign w:val="center"/>
                </w:tcPr>
                <w:p w14:paraId="38DA9C6B">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10F06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5F2BBE8D">
                  <w:pPr>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平运路37号</w:t>
                  </w:r>
                </w:p>
              </w:tc>
              <w:tc>
                <w:tcPr>
                  <w:tcW w:w="722" w:type="dxa"/>
                  <w:tcBorders>
                    <w:tl2br w:val="nil"/>
                    <w:tr2bl w:val="nil"/>
                  </w:tcBorders>
                  <w:shd w:val="clear" w:color="auto" w:fill="auto"/>
                  <w:vAlign w:val="center"/>
                </w:tcPr>
                <w:p w14:paraId="149E551F">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0</w:t>
                  </w:r>
                </w:p>
              </w:tc>
              <w:tc>
                <w:tcPr>
                  <w:tcW w:w="770" w:type="dxa"/>
                  <w:tcBorders>
                    <w:tl2br w:val="nil"/>
                    <w:tr2bl w:val="nil"/>
                  </w:tcBorders>
                  <w:shd w:val="clear" w:color="auto" w:fill="auto"/>
                  <w:vAlign w:val="center"/>
                </w:tcPr>
                <w:p w14:paraId="3C60462A">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74</w:t>
                  </w:r>
                </w:p>
              </w:tc>
              <w:tc>
                <w:tcPr>
                  <w:tcW w:w="703" w:type="dxa"/>
                  <w:tcBorders>
                    <w:tl2br w:val="nil"/>
                    <w:tr2bl w:val="nil"/>
                  </w:tcBorders>
                  <w:shd w:val="clear" w:color="auto" w:fill="auto"/>
                  <w:vAlign w:val="center"/>
                </w:tcPr>
                <w:p w14:paraId="05FAF12F">
                  <w:pPr>
                    <w:spacing w:line="240" w:lineRule="auto"/>
                    <w:jc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116" w:type="dxa"/>
                  <w:tcBorders>
                    <w:tl2br w:val="nil"/>
                    <w:tr2bl w:val="nil"/>
                  </w:tcBorders>
                  <w:shd w:val="clear" w:color="auto" w:fill="auto"/>
                  <w:vAlign w:val="center"/>
                </w:tcPr>
                <w:p w14:paraId="18D17EA5">
                  <w:pPr>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约80户</w:t>
                  </w:r>
                </w:p>
              </w:tc>
              <w:tc>
                <w:tcPr>
                  <w:tcW w:w="1283" w:type="dxa"/>
                  <w:vMerge w:val="continue"/>
                  <w:tcBorders>
                    <w:tl2br w:val="nil"/>
                    <w:tr2bl w:val="nil"/>
                  </w:tcBorders>
                  <w:shd w:val="clear" w:color="auto" w:fill="auto"/>
                  <w:vAlign w:val="center"/>
                </w:tcPr>
                <w:p w14:paraId="44C575E0">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21890CE1">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北</w:t>
                  </w:r>
                </w:p>
              </w:tc>
              <w:tc>
                <w:tcPr>
                  <w:tcW w:w="1091" w:type="dxa"/>
                  <w:tcBorders>
                    <w:tl2br w:val="nil"/>
                    <w:tr2bl w:val="nil"/>
                  </w:tcBorders>
                  <w:shd w:val="clear" w:color="auto" w:fill="auto"/>
                  <w:vAlign w:val="center"/>
                </w:tcPr>
                <w:p w14:paraId="5B5411AA">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1109B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208FB92A">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南斯港社区</w:t>
                  </w:r>
                  <w:r>
                    <w:rPr>
                      <w:rFonts w:hint="eastAsia" w:cs="Times New Roman"/>
                      <w:bCs/>
                      <w:color w:val="000000" w:themeColor="text1"/>
                      <w:sz w:val="18"/>
                      <w:szCs w:val="18"/>
                      <w:highlight w:val="none"/>
                      <w:lang w:val="en-US" w:eastAsia="zh-CN"/>
                      <w14:textFill>
                        <w14:solidFill>
                          <w14:schemeClr w14:val="tx1"/>
                        </w14:solidFill>
                      </w14:textFill>
                    </w:rPr>
                    <w:t>散户</w:t>
                  </w:r>
                </w:p>
              </w:tc>
              <w:tc>
                <w:tcPr>
                  <w:tcW w:w="722" w:type="dxa"/>
                  <w:tcBorders>
                    <w:tl2br w:val="nil"/>
                    <w:tr2bl w:val="nil"/>
                  </w:tcBorders>
                  <w:shd w:val="clear" w:color="auto" w:fill="auto"/>
                  <w:vAlign w:val="center"/>
                </w:tcPr>
                <w:p w14:paraId="69C533C7">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-3</w:t>
                  </w:r>
                </w:p>
              </w:tc>
              <w:tc>
                <w:tcPr>
                  <w:tcW w:w="770" w:type="dxa"/>
                  <w:tcBorders>
                    <w:tl2br w:val="nil"/>
                    <w:tr2bl w:val="nil"/>
                  </w:tcBorders>
                  <w:shd w:val="clear" w:color="auto" w:fill="auto"/>
                  <w:vAlign w:val="center"/>
                </w:tcPr>
                <w:p w14:paraId="06CA6D2D">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-4</w:t>
                  </w:r>
                </w:p>
              </w:tc>
              <w:tc>
                <w:tcPr>
                  <w:tcW w:w="703" w:type="dxa"/>
                  <w:tcBorders>
                    <w:tl2br w:val="nil"/>
                    <w:tr2bl w:val="nil"/>
                  </w:tcBorders>
                  <w:shd w:val="clear" w:color="auto" w:fill="auto"/>
                  <w:vAlign w:val="center"/>
                </w:tcPr>
                <w:p w14:paraId="0AC09D28">
                  <w:pPr>
                    <w:spacing w:line="240" w:lineRule="auto"/>
                    <w:jc w:val="center"/>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116" w:type="dxa"/>
                  <w:tcBorders>
                    <w:tl2br w:val="nil"/>
                    <w:tr2bl w:val="nil"/>
                  </w:tcBorders>
                  <w:shd w:val="clear" w:color="auto" w:fill="auto"/>
                  <w:vAlign w:val="center"/>
                </w:tcPr>
                <w:p w14:paraId="7918FC4C">
                  <w:pPr>
                    <w:spacing w:line="240" w:lineRule="auto"/>
                    <w:jc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约3户</w:t>
                  </w:r>
                </w:p>
              </w:tc>
              <w:tc>
                <w:tcPr>
                  <w:tcW w:w="1283" w:type="dxa"/>
                  <w:vMerge w:val="continue"/>
                  <w:tcBorders>
                    <w:tl2br w:val="nil"/>
                    <w:tr2bl w:val="nil"/>
                  </w:tcBorders>
                  <w:shd w:val="clear" w:color="auto" w:fill="auto"/>
                  <w:vAlign w:val="center"/>
                </w:tcPr>
                <w:p w14:paraId="12DD223D">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458AB4E2">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西南</w:t>
                  </w:r>
                </w:p>
              </w:tc>
              <w:tc>
                <w:tcPr>
                  <w:tcW w:w="1091" w:type="dxa"/>
                  <w:tcBorders>
                    <w:tl2br w:val="nil"/>
                    <w:tr2bl w:val="nil"/>
                  </w:tcBorders>
                  <w:shd w:val="clear" w:color="auto" w:fill="auto"/>
                  <w:vAlign w:val="center"/>
                </w:tcPr>
                <w:p w14:paraId="00567783">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2E1D20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0F8DC605">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平运路三弄</w:t>
                  </w:r>
                </w:p>
              </w:tc>
              <w:tc>
                <w:tcPr>
                  <w:tcW w:w="722" w:type="dxa"/>
                  <w:tcBorders>
                    <w:tl2br w:val="nil"/>
                    <w:tr2bl w:val="nil"/>
                  </w:tcBorders>
                  <w:shd w:val="clear" w:color="auto" w:fill="auto"/>
                  <w:vAlign w:val="center"/>
                </w:tcPr>
                <w:p w14:paraId="4A3F25A8">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289</w:t>
                  </w:r>
                </w:p>
              </w:tc>
              <w:tc>
                <w:tcPr>
                  <w:tcW w:w="770" w:type="dxa"/>
                  <w:tcBorders>
                    <w:tl2br w:val="nil"/>
                    <w:tr2bl w:val="nil"/>
                  </w:tcBorders>
                  <w:shd w:val="clear" w:color="auto" w:fill="auto"/>
                  <w:vAlign w:val="center"/>
                </w:tcPr>
                <w:p w14:paraId="49E25EE2">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66</w:t>
                  </w:r>
                </w:p>
              </w:tc>
              <w:tc>
                <w:tcPr>
                  <w:tcW w:w="703" w:type="dxa"/>
                  <w:tcBorders>
                    <w:tl2br w:val="nil"/>
                    <w:tr2bl w:val="nil"/>
                  </w:tcBorders>
                  <w:shd w:val="clear" w:color="auto" w:fill="auto"/>
                  <w:vAlign w:val="center"/>
                </w:tcPr>
                <w:p w14:paraId="782DD5A3">
                  <w:pPr>
                    <w:spacing w:line="240" w:lineRule="auto"/>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116" w:type="dxa"/>
                  <w:tcBorders>
                    <w:tl2br w:val="nil"/>
                    <w:tr2bl w:val="nil"/>
                  </w:tcBorders>
                  <w:shd w:val="clear" w:color="auto" w:fill="auto"/>
                  <w:vAlign w:val="center"/>
                </w:tcPr>
                <w:p w14:paraId="5DDB9335">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约10户</w:t>
                  </w:r>
                </w:p>
              </w:tc>
              <w:tc>
                <w:tcPr>
                  <w:tcW w:w="1283" w:type="dxa"/>
                  <w:vMerge w:val="continue"/>
                  <w:tcBorders>
                    <w:tl2br w:val="nil"/>
                    <w:tr2bl w:val="nil"/>
                  </w:tcBorders>
                  <w:shd w:val="clear" w:color="auto" w:fill="auto"/>
                  <w:vAlign w:val="center"/>
                </w:tcPr>
                <w:p w14:paraId="18BA984F">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78F03B2D">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东北</w:t>
                  </w:r>
                </w:p>
              </w:tc>
              <w:tc>
                <w:tcPr>
                  <w:tcW w:w="1091" w:type="dxa"/>
                  <w:tcBorders>
                    <w:tl2br w:val="nil"/>
                    <w:tr2bl w:val="nil"/>
                  </w:tcBorders>
                  <w:shd w:val="clear" w:color="auto" w:fill="auto"/>
                  <w:vAlign w:val="center"/>
                </w:tcPr>
                <w:p w14:paraId="404A257F">
                  <w:pPr>
                    <w:adjustRightInd w:val="0"/>
                    <w:snapToGrid w:val="0"/>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8</w:t>
                  </w:r>
                </w:p>
              </w:tc>
            </w:tr>
            <w:tr w14:paraId="258C75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41D4C266">
                  <w:pPr>
                    <w:keepNext w:val="0"/>
                    <w:keepLines w:val="0"/>
                    <w:widowControl/>
                    <w:suppressLineNumbers w:val="0"/>
                    <w:spacing w:line="240" w:lineRule="auto"/>
                    <w:jc w:val="center"/>
                    <w:textAlignment w:val="center"/>
                    <w:rPr>
                      <w:rFonts w:hint="eastAsia" w:ascii="Times New Roman" w:hAnsi="Times New Roman" w:eastAsia="宋体" w:cs="Times New Roman"/>
                      <w:bCs/>
                      <w:color w:val="000000" w:themeColor="text1"/>
                      <w:sz w:val="18"/>
                      <w:szCs w:val="18"/>
                      <w:highlight w:val="none"/>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华望公寓</w:t>
                  </w:r>
                </w:p>
              </w:tc>
              <w:tc>
                <w:tcPr>
                  <w:tcW w:w="722" w:type="dxa"/>
                  <w:tcBorders>
                    <w:tl2br w:val="nil"/>
                    <w:tr2bl w:val="nil"/>
                  </w:tcBorders>
                  <w:shd w:val="clear" w:color="auto" w:fill="auto"/>
                  <w:vAlign w:val="center"/>
                </w:tcPr>
                <w:p w14:paraId="245DC961">
                  <w:pPr>
                    <w:adjustRightInd w:val="0"/>
                    <w:snapToGrid w:val="0"/>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-12</w:t>
                  </w:r>
                </w:p>
              </w:tc>
              <w:tc>
                <w:tcPr>
                  <w:tcW w:w="770" w:type="dxa"/>
                  <w:tcBorders>
                    <w:tl2br w:val="nil"/>
                    <w:tr2bl w:val="nil"/>
                  </w:tcBorders>
                  <w:shd w:val="clear" w:color="auto" w:fill="auto"/>
                  <w:vAlign w:val="center"/>
                </w:tcPr>
                <w:p w14:paraId="0EF560ED">
                  <w:pPr>
                    <w:adjustRightInd w:val="0"/>
                    <w:snapToGrid w:val="0"/>
                    <w:spacing w:line="240" w:lineRule="auto"/>
                    <w:jc w:val="center"/>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181</w:t>
                  </w:r>
                </w:p>
              </w:tc>
              <w:tc>
                <w:tcPr>
                  <w:tcW w:w="703" w:type="dxa"/>
                  <w:tcBorders>
                    <w:tl2br w:val="nil"/>
                    <w:tr2bl w:val="nil"/>
                  </w:tcBorders>
                  <w:shd w:val="clear" w:color="auto" w:fill="auto"/>
                  <w:vAlign w:val="center"/>
                </w:tcPr>
                <w:p w14:paraId="6671A1EB">
                  <w:pPr>
                    <w:keepNext w:val="0"/>
                    <w:keepLines w:val="0"/>
                    <w:widowControl/>
                    <w:suppressLineNumbers w:val="0"/>
                    <w:spacing w:line="240" w:lineRule="auto"/>
                    <w:jc w:val="center"/>
                    <w:textAlignment w:val="center"/>
                    <w:rPr>
                      <w:rFonts w:hint="eastAsia"/>
                      <w:color w:val="000000" w:themeColor="text1"/>
                      <w:sz w:val="18"/>
                      <w:szCs w:val="18"/>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2F5C60F1">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75</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55E3B7BD">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4057894E">
                  <w:pPr>
                    <w:keepNext w:val="0"/>
                    <w:keepLines w:val="0"/>
                    <w:widowControl/>
                    <w:suppressLineNumbers w:val="0"/>
                    <w:spacing w:line="240" w:lineRule="auto"/>
                    <w:jc w:val="center"/>
                    <w:textAlignment w:val="center"/>
                    <w:rPr>
                      <w:rFonts w:hint="default" w:cs="Times New Roman"/>
                      <w:bCs/>
                      <w:color w:val="000000" w:themeColor="text1"/>
                      <w:sz w:val="18"/>
                      <w:szCs w:val="18"/>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西北</w:t>
                  </w:r>
                </w:p>
              </w:tc>
              <w:tc>
                <w:tcPr>
                  <w:tcW w:w="1091" w:type="dxa"/>
                  <w:tcBorders>
                    <w:tl2br w:val="nil"/>
                    <w:tr2bl w:val="nil"/>
                  </w:tcBorders>
                  <w:shd w:val="clear" w:color="auto" w:fill="auto"/>
                  <w:vAlign w:val="center"/>
                </w:tcPr>
                <w:p w14:paraId="4C206132">
                  <w:pPr>
                    <w:keepNext w:val="0"/>
                    <w:keepLines w:val="0"/>
                    <w:widowControl/>
                    <w:suppressLineNumbers w:val="0"/>
                    <w:spacing w:line="240" w:lineRule="auto"/>
                    <w:jc w:val="center"/>
                    <w:textAlignment w:val="center"/>
                    <w:rPr>
                      <w:rFonts w:hint="default" w:eastAsia="宋体"/>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55</w:t>
                  </w:r>
                </w:p>
              </w:tc>
            </w:tr>
            <w:tr w14:paraId="5950B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34C87A2E">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莺湖村</w:t>
                  </w:r>
                </w:p>
              </w:tc>
              <w:tc>
                <w:tcPr>
                  <w:tcW w:w="722" w:type="dxa"/>
                  <w:tcBorders>
                    <w:tl2br w:val="nil"/>
                    <w:tr2bl w:val="nil"/>
                  </w:tcBorders>
                  <w:shd w:val="clear" w:color="auto" w:fill="auto"/>
                  <w:vAlign w:val="center"/>
                </w:tcPr>
                <w:p w14:paraId="436F1717">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0</w:t>
                  </w:r>
                </w:p>
              </w:tc>
              <w:tc>
                <w:tcPr>
                  <w:tcW w:w="770" w:type="dxa"/>
                  <w:tcBorders>
                    <w:tl2br w:val="nil"/>
                    <w:tr2bl w:val="nil"/>
                  </w:tcBorders>
                  <w:shd w:val="clear" w:color="auto" w:fill="auto"/>
                  <w:vAlign w:val="center"/>
                </w:tcPr>
                <w:p w14:paraId="11D8F044">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-57</w:t>
                  </w:r>
                </w:p>
              </w:tc>
              <w:tc>
                <w:tcPr>
                  <w:tcW w:w="703" w:type="dxa"/>
                  <w:tcBorders>
                    <w:tl2br w:val="nil"/>
                    <w:tr2bl w:val="nil"/>
                  </w:tcBorders>
                  <w:shd w:val="clear" w:color="auto" w:fill="auto"/>
                  <w:vAlign w:val="center"/>
                </w:tcPr>
                <w:p w14:paraId="040ACB9C">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00F685AD">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1559</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62C03F9A">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0721AFFD">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南</w:t>
                  </w:r>
                </w:p>
              </w:tc>
              <w:tc>
                <w:tcPr>
                  <w:tcW w:w="1091" w:type="dxa"/>
                  <w:tcBorders>
                    <w:tl2br w:val="nil"/>
                    <w:tr2bl w:val="nil"/>
                  </w:tcBorders>
                  <w:shd w:val="clear" w:color="auto" w:fill="auto"/>
                  <w:vAlign w:val="center"/>
                </w:tcPr>
                <w:p w14:paraId="59CBA511">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57</w:t>
                  </w:r>
                </w:p>
              </w:tc>
            </w:tr>
            <w:tr w14:paraId="50D17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11EC135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南新小区</w:t>
                  </w:r>
                </w:p>
              </w:tc>
              <w:tc>
                <w:tcPr>
                  <w:tcW w:w="722" w:type="dxa"/>
                  <w:tcBorders>
                    <w:tl2br w:val="nil"/>
                    <w:tr2bl w:val="nil"/>
                  </w:tcBorders>
                  <w:shd w:val="clear" w:color="auto" w:fill="auto"/>
                  <w:vAlign w:val="center"/>
                </w:tcPr>
                <w:p w14:paraId="35EA706C">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0</w:t>
                  </w:r>
                </w:p>
              </w:tc>
              <w:tc>
                <w:tcPr>
                  <w:tcW w:w="770" w:type="dxa"/>
                  <w:tcBorders>
                    <w:tl2br w:val="nil"/>
                    <w:tr2bl w:val="nil"/>
                  </w:tcBorders>
                  <w:shd w:val="clear" w:color="auto" w:fill="auto"/>
                  <w:vAlign w:val="center"/>
                </w:tcPr>
                <w:p w14:paraId="0B82A30B">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249</w:t>
                  </w:r>
                </w:p>
              </w:tc>
              <w:tc>
                <w:tcPr>
                  <w:tcW w:w="703" w:type="dxa"/>
                  <w:tcBorders>
                    <w:tl2br w:val="nil"/>
                    <w:tr2bl w:val="nil"/>
                  </w:tcBorders>
                  <w:shd w:val="clear" w:color="auto" w:fill="auto"/>
                  <w:vAlign w:val="center"/>
                </w:tcPr>
                <w:p w14:paraId="6134C817">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41BE350C">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165</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51963946">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47AC8FAD">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北</w:t>
                  </w:r>
                </w:p>
              </w:tc>
              <w:tc>
                <w:tcPr>
                  <w:tcW w:w="1091" w:type="dxa"/>
                  <w:tcBorders>
                    <w:tl2br w:val="nil"/>
                    <w:tr2bl w:val="nil"/>
                  </w:tcBorders>
                  <w:shd w:val="clear" w:color="auto" w:fill="auto"/>
                  <w:vAlign w:val="center"/>
                </w:tcPr>
                <w:p w14:paraId="048BAEE6">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85</w:t>
                  </w:r>
                </w:p>
              </w:tc>
            </w:tr>
            <w:tr w14:paraId="47414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1312DB56">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望城名门</w:t>
                  </w:r>
                </w:p>
              </w:tc>
              <w:tc>
                <w:tcPr>
                  <w:tcW w:w="722" w:type="dxa"/>
                  <w:tcBorders>
                    <w:tl2br w:val="nil"/>
                    <w:tr2bl w:val="nil"/>
                  </w:tcBorders>
                  <w:shd w:val="clear" w:color="auto" w:fill="auto"/>
                  <w:vAlign w:val="center"/>
                </w:tcPr>
                <w:p w14:paraId="73D8B791">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-341</w:t>
                  </w:r>
                </w:p>
              </w:tc>
              <w:tc>
                <w:tcPr>
                  <w:tcW w:w="770" w:type="dxa"/>
                  <w:tcBorders>
                    <w:tl2br w:val="nil"/>
                    <w:tr2bl w:val="nil"/>
                  </w:tcBorders>
                  <w:shd w:val="clear" w:color="auto" w:fill="auto"/>
                  <w:vAlign w:val="center"/>
                </w:tcPr>
                <w:p w14:paraId="5D3C99B5">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-8</w:t>
                  </w:r>
                </w:p>
              </w:tc>
              <w:tc>
                <w:tcPr>
                  <w:tcW w:w="703" w:type="dxa"/>
                  <w:tcBorders>
                    <w:tl2br w:val="nil"/>
                    <w:tr2bl w:val="nil"/>
                  </w:tcBorders>
                  <w:shd w:val="clear" w:color="auto" w:fill="auto"/>
                  <w:vAlign w:val="center"/>
                </w:tcPr>
                <w:p w14:paraId="75A17829">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16DBF37E">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126</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48C8B791">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0574E6F9">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东南</w:t>
                  </w:r>
                </w:p>
              </w:tc>
              <w:tc>
                <w:tcPr>
                  <w:tcW w:w="1091" w:type="dxa"/>
                  <w:tcBorders>
                    <w:tl2br w:val="nil"/>
                    <w:tr2bl w:val="nil"/>
                  </w:tcBorders>
                  <w:shd w:val="clear" w:color="auto" w:fill="auto"/>
                  <w:vAlign w:val="center"/>
                </w:tcPr>
                <w:p w14:paraId="6BEDD32C">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125</w:t>
                  </w:r>
                </w:p>
              </w:tc>
            </w:tr>
            <w:tr w14:paraId="59DB81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1645" w:type="dxa"/>
                  <w:tcBorders>
                    <w:tl2br w:val="nil"/>
                    <w:tr2bl w:val="nil"/>
                  </w:tcBorders>
                  <w:shd w:val="clear" w:color="auto" w:fill="auto"/>
                  <w:vAlign w:val="center"/>
                </w:tcPr>
                <w:p w14:paraId="38DEDA52">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平望电厂小区</w:t>
                  </w:r>
                </w:p>
              </w:tc>
              <w:tc>
                <w:tcPr>
                  <w:tcW w:w="722" w:type="dxa"/>
                  <w:tcBorders>
                    <w:tl2br w:val="nil"/>
                    <w:tr2bl w:val="nil"/>
                  </w:tcBorders>
                  <w:shd w:val="clear" w:color="auto" w:fill="auto"/>
                  <w:vAlign w:val="center"/>
                </w:tcPr>
                <w:p w14:paraId="657562AE">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227</w:t>
                  </w:r>
                </w:p>
              </w:tc>
              <w:tc>
                <w:tcPr>
                  <w:tcW w:w="770" w:type="dxa"/>
                  <w:tcBorders>
                    <w:tl2br w:val="nil"/>
                    <w:tr2bl w:val="nil"/>
                  </w:tcBorders>
                  <w:shd w:val="clear" w:color="auto" w:fill="auto"/>
                  <w:vAlign w:val="center"/>
                </w:tcPr>
                <w:p w14:paraId="031C968C">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306</w:t>
                  </w:r>
                </w:p>
              </w:tc>
              <w:tc>
                <w:tcPr>
                  <w:tcW w:w="703" w:type="dxa"/>
                  <w:tcBorders>
                    <w:tl2br w:val="nil"/>
                    <w:tr2bl w:val="nil"/>
                  </w:tcBorders>
                  <w:shd w:val="clear" w:color="auto" w:fill="auto"/>
                  <w:vAlign w:val="center"/>
                </w:tcPr>
                <w:p w14:paraId="3CDE0D91">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2158ED61">
                  <w:pPr>
                    <w:keepNext w:val="0"/>
                    <w:keepLines w:val="0"/>
                    <w:widowControl/>
                    <w:suppressLineNumbers w:val="0"/>
                    <w:spacing w:line="240" w:lineRule="auto"/>
                    <w:jc w:val="center"/>
                    <w:textAlignment w:val="center"/>
                    <w:rPr>
                      <w:rFonts w:hint="default"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66765B9B">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4E58F36B">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0EDB1DF2">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155</w:t>
                  </w:r>
                </w:p>
              </w:tc>
            </w:tr>
            <w:tr w14:paraId="07920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15BEFE5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西新弄</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号</w:t>
                  </w:r>
                </w:p>
              </w:tc>
              <w:tc>
                <w:tcPr>
                  <w:tcW w:w="722" w:type="dxa"/>
                  <w:tcBorders>
                    <w:tl2br w:val="nil"/>
                    <w:tr2bl w:val="nil"/>
                  </w:tcBorders>
                  <w:shd w:val="clear" w:color="auto" w:fill="auto"/>
                  <w:vAlign w:val="center"/>
                </w:tcPr>
                <w:p w14:paraId="17FCC3AA">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395</w:t>
                  </w:r>
                </w:p>
              </w:tc>
              <w:tc>
                <w:tcPr>
                  <w:tcW w:w="770" w:type="dxa"/>
                  <w:tcBorders>
                    <w:tl2br w:val="nil"/>
                    <w:tr2bl w:val="nil"/>
                  </w:tcBorders>
                  <w:shd w:val="clear" w:color="auto" w:fill="auto"/>
                  <w:vAlign w:val="center"/>
                </w:tcPr>
                <w:p w14:paraId="349CBAF3">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305</w:t>
                  </w:r>
                </w:p>
              </w:tc>
              <w:tc>
                <w:tcPr>
                  <w:tcW w:w="703" w:type="dxa"/>
                  <w:tcBorders>
                    <w:tl2br w:val="nil"/>
                    <w:tr2bl w:val="nil"/>
                  </w:tcBorders>
                  <w:shd w:val="clear" w:color="auto" w:fill="auto"/>
                  <w:vAlign w:val="center"/>
                </w:tcPr>
                <w:p w14:paraId="0BF38922">
                  <w:pPr>
                    <w:keepNext w:val="0"/>
                    <w:keepLines w:val="0"/>
                    <w:widowControl/>
                    <w:suppressLineNumbers w:val="0"/>
                    <w:spacing w:line="240" w:lineRule="auto"/>
                    <w:jc w:val="center"/>
                    <w:textAlignment w:val="center"/>
                    <w:rPr>
                      <w:rFonts w:hint="eastAsia"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35A1C6ED">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7A1887BA">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39FE455C">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4F48F32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194</w:t>
                  </w:r>
                </w:p>
              </w:tc>
            </w:tr>
            <w:tr w14:paraId="0EAEC1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7A77F3A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星宝贝幼儿园</w:t>
                  </w:r>
                </w:p>
              </w:tc>
              <w:tc>
                <w:tcPr>
                  <w:tcW w:w="722" w:type="dxa"/>
                  <w:tcBorders>
                    <w:tl2br w:val="nil"/>
                    <w:tr2bl w:val="nil"/>
                  </w:tcBorders>
                  <w:shd w:val="clear" w:color="auto" w:fill="auto"/>
                  <w:vAlign w:val="center"/>
                </w:tcPr>
                <w:p w14:paraId="10FBF548">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226</w:t>
                  </w:r>
                </w:p>
              </w:tc>
              <w:tc>
                <w:tcPr>
                  <w:tcW w:w="770" w:type="dxa"/>
                  <w:tcBorders>
                    <w:tl2br w:val="nil"/>
                    <w:tr2bl w:val="nil"/>
                  </w:tcBorders>
                  <w:shd w:val="clear" w:color="auto" w:fill="auto"/>
                  <w:vAlign w:val="center"/>
                </w:tcPr>
                <w:p w14:paraId="24D7719C">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358</w:t>
                  </w:r>
                </w:p>
              </w:tc>
              <w:tc>
                <w:tcPr>
                  <w:tcW w:w="703" w:type="dxa"/>
                  <w:tcBorders>
                    <w:tl2br w:val="nil"/>
                    <w:tr2bl w:val="nil"/>
                  </w:tcBorders>
                  <w:shd w:val="clear" w:color="auto" w:fill="auto"/>
                  <w:vAlign w:val="center"/>
                </w:tcPr>
                <w:p w14:paraId="508E9439">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学校</w:t>
                  </w:r>
                </w:p>
              </w:tc>
              <w:tc>
                <w:tcPr>
                  <w:tcW w:w="1116" w:type="dxa"/>
                  <w:tcBorders>
                    <w:tl2br w:val="nil"/>
                    <w:tr2bl w:val="nil"/>
                  </w:tcBorders>
                  <w:shd w:val="clear" w:color="auto" w:fill="auto"/>
                  <w:vAlign w:val="center"/>
                </w:tcPr>
                <w:p w14:paraId="5F5C30BA">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人</w:t>
                  </w:r>
                </w:p>
              </w:tc>
              <w:tc>
                <w:tcPr>
                  <w:tcW w:w="1283" w:type="dxa"/>
                  <w:vMerge w:val="continue"/>
                  <w:tcBorders>
                    <w:tl2br w:val="nil"/>
                    <w:tr2bl w:val="nil"/>
                  </w:tcBorders>
                  <w:shd w:val="clear" w:color="auto" w:fill="auto"/>
                  <w:vAlign w:val="center"/>
                </w:tcPr>
                <w:p w14:paraId="1FE87F84">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2B97FFE2">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7DA44DF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196</w:t>
                  </w:r>
                </w:p>
              </w:tc>
            </w:tr>
            <w:tr w14:paraId="293615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1F703C89">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南斯港南岸</w:t>
                  </w:r>
                </w:p>
              </w:tc>
              <w:tc>
                <w:tcPr>
                  <w:tcW w:w="722" w:type="dxa"/>
                  <w:tcBorders>
                    <w:tl2br w:val="nil"/>
                    <w:tr2bl w:val="nil"/>
                  </w:tcBorders>
                  <w:shd w:val="clear" w:color="auto" w:fill="auto"/>
                  <w:vAlign w:val="center"/>
                </w:tcPr>
                <w:p w14:paraId="0C1CCDE2">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254</w:t>
                  </w:r>
                </w:p>
              </w:tc>
              <w:tc>
                <w:tcPr>
                  <w:tcW w:w="770" w:type="dxa"/>
                  <w:tcBorders>
                    <w:tl2br w:val="nil"/>
                    <w:tr2bl w:val="nil"/>
                  </w:tcBorders>
                  <w:shd w:val="clear" w:color="auto" w:fill="auto"/>
                  <w:vAlign w:val="center"/>
                </w:tcPr>
                <w:p w14:paraId="6CE95708">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357</w:t>
                  </w:r>
                </w:p>
              </w:tc>
              <w:tc>
                <w:tcPr>
                  <w:tcW w:w="703" w:type="dxa"/>
                  <w:tcBorders>
                    <w:tl2br w:val="nil"/>
                    <w:tr2bl w:val="nil"/>
                  </w:tcBorders>
                  <w:shd w:val="clear" w:color="auto" w:fill="auto"/>
                  <w:vAlign w:val="center"/>
                </w:tcPr>
                <w:p w14:paraId="6B21B8C2">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6F9B43D1">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239B92CF">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0201125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1F70264A">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205</w:t>
                  </w:r>
                </w:p>
              </w:tc>
            </w:tr>
            <w:tr w14:paraId="5584F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2E66034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望湖四季花园</w:t>
                  </w:r>
                </w:p>
              </w:tc>
              <w:tc>
                <w:tcPr>
                  <w:tcW w:w="722" w:type="dxa"/>
                  <w:tcBorders>
                    <w:tl2br w:val="nil"/>
                    <w:tr2bl w:val="nil"/>
                  </w:tcBorders>
                  <w:shd w:val="clear" w:color="auto" w:fill="auto"/>
                  <w:vAlign w:val="center"/>
                </w:tcPr>
                <w:p w14:paraId="25201E77">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-510</w:t>
                  </w:r>
                </w:p>
              </w:tc>
              <w:tc>
                <w:tcPr>
                  <w:tcW w:w="770" w:type="dxa"/>
                  <w:tcBorders>
                    <w:tl2br w:val="nil"/>
                    <w:tr2bl w:val="nil"/>
                  </w:tcBorders>
                  <w:shd w:val="clear" w:color="auto" w:fill="auto"/>
                  <w:vAlign w:val="center"/>
                </w:tcPr>
                <w:p w14:paraId="663C8E07">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0</w:t>
                  </w:r>
                </w:p>
              </w:tc>
              <w:tc>
                <w:tcPr>
                  <w:tcW w:w="703" w:type="dxa"/>
                  <w:tcBorders>
                    <w:tl2br w:val="nil"/>
                    <w:tr2bl w:val="nil"/>
                  </w:tcBorders>
                  <w:shd w:val="clear" w:color="auto" w:fill="auto"/>
                  <w:vAlign w:val="center"/>
                </w:tcPr>
                <w:p w14:paraId="03862A62">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6D2FC3E4">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782</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40E0EB91">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66973A4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西</w:t>
                  </w:r>
                </w:p>
              </w:tc>
              <w:tc>
                <w:tcPr>
                  <w:tcW w:w="1091" w:type="dxa"/>
                  <w:tcBorders>
                    <w:tl2br w:val="nil"/>
                    <w:tr2bl w:val="nil"/>
                  </w:tcBorders>
                  <w:shd w:val="clear" w:color="auto" w:fill="auto"/>
                  <w:vAlign w:val="center"/>
                </w:tcPr>
                <w:p w14:paraId="5C80F1FA">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230</w:t>
                  </w:r>
                </w:p>
              </w:tc>
            </w:tr>
            <w:tr w14:paraId="1D3D6C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036EE3C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南斯港北岸</w:t>
                  </w:r>
                </w:p>
              </w:tc>
              <w:tc>
                <w:tcPr>
                  <w:tcW w:w="722" w:type="dxa"/>
                  <w:tcBorders>
                    <w:tl2br w:val="nil"/>
                    <w:tr2bl w:val="nil"/>
                  </w:tcBorders>
                  <w:shd w:val="clear" w:color="auto" w:fill="auto"/>
                  <w:vAlign w:val="center"/>
                </w:tcPr>
                <w:p w14:paraId="3387C46A">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225</w:t>
                  </w:r>
                </w:p>
              </w:tc>
              <w:tc>
                <w:tcPr>
                  <w:tcW w:w="770" w:type="dxa"/>
                  <w:tcBorders>
                    <w:tl2br w:val="nil"/>
                    <w:tr2bl w:val="nil"/>
                  </w:tcBorders>
                  <w:shd w:val="clear" w:color="auto" w:fill="auto"/>
                  <w:vAlign w:val="center"/>
                </w:tcPr>
                <w:p w14:paraId="69FF724F">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414</w:t>
                  </w:r>
                </w:p>
              </w:tc>
              <w:tc>
                <w:tcPr>
                  <w:tcW w:w="703" w:type="dxa"/>
                  <w:tcBorders>
                    <w:tl2br w:val="nil"/>
                    <w:tr2bl w:val="nil"/>
                  </w:tcBorders>
                  <w:shd w:val="clear" w:color="auto" w:fill="auto"/>
                  <w:vAlign w:val="center"/>
                </w:tcPr>
                <w:p w14:paraId="40179A7E">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2104DB49">
                  <w:pPr>
                    <w:keepNext w:val="0"/>
                    <w:keepLines w:val="0"/>
                    <w:widowControl/>
                    <w:suppressLineNumbers w:val="0"/>
                    <w:spacing w:line="240" w:lineRule="auto"/>
                    <w:jc w:val="center"/>
                    <w:textAlignment w:val="center"/>
                    <w:rPr>
                      <w:rFonts w:hint="default"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27BDF2AE">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65442559">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30717F7B">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242</w:t>
                  </w:r>
                </w:p>
              </w:tc>
            </w:tr>
            <w:tr w14:paraId="2CB6F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24E92CA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平西村</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组</w:t>
                  </w:r>
                </w:p>
              </w:tc>
              <w:tc>
                <w:tcPr>
                  <w:tcW w:w="722" w:type="dxa"/>
                  <w:tcBorders>
                    <w:tl2br w:val="nil"/>
                    <w:tr2bl w:val="nil"/>
                  </w:tcBorders>
                  <w:shd w:val="clear" w:color="auto" w:fill="auto"/>
                  <w:vAlign w:val="center"/>
                </w:tcPr>
                <w:p w14:paraId="00242C60">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-464</w:t>
                  </w:r>
                </w:p>
              </w:tc>
              <w:tc>
                <w:tcPr>
                  <w:tcW w:w="770" w:type="dxa"/>
                  <w:tcBorders>
                    <w:tl2br w:val="nil"/>
                    <w:tr2bl w:val="nil"/>
                  </w:tcBorders>
                  <w:shd w:val="clear" w:color="auto" w:fill="auto"/>
                  <w:vAlign w:val="center"/>
                </w:tcPr>
                <w:p w14:paraId="14B98300">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258</w:t>
                  </w:r>
                </w:p>
              </w:tc>
              <w:tc>
                <w:tcPr>
                  <w:tcW w:w="703" w:type="dxa"/>
                  <w:tcBorders>
                    <w:tl2br w:val="nil"/>
                    <w:tr2bl w:val="nil"/>
                  </w:tcBorders>
                  <w:shd w:val="clear" w:color="auto" w:fill="auto"/>
                  <w:vAlign w:val="center"/>
                </w:tcPr>
                <w:p w14:paraId="0A0E4FBC">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68AEB3CB">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777B87C7">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13B5E99B">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西北</w:t>
                  </w:r>
                </w:p>
              </w:tc>
              <w:tc>
                <w:tcPr>
                  <w:tcW w:w="1091" w:type="dxa"/>
                  <w:tcBorders>
                    <w:tl2br w:val="nil"/>
                    <w:tr2bl w:val="nil"/>
                  </w:tcBorders>
                  <w:shd w:val="clear" w:color="auto" w:fill="auto"/>
                  <w:vAlign w:val="center"/>
                </w:tcPr>
                <w:p w14:paraId="437EF8CF">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298</w:t>
                  </w:r>
                </w:p>
              </w:tc>
            </w:tr>
            <w:tr w14:paraId="117378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7FEC6BD8">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南新弄</w:t>
                  </w:r>
                </w:p>
              </w:tc>
              <w:tc>
                <w:tcPr>
                  <w:tcW w:w="722" w:type="dxa"/>
                  <w:tcBorders>
                    <w:tl2br w:val="nil"/>
                    <w:tr2bl w:val="nil"/>
                  </w:tcBorders>
                  <w:shd w:val="clear" w:color="auto" w:fill="auto"/>
                  <w:vAlign w:val="center"/>
                </w:tcPr>
                <w:p w14:paraId="1760FF36">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308</w:t>
                  </w:r>
                </w:p>
              </w:tc>
              <w:tc>
                <w:tcPr>
                  <w:tcW w:w="770" w:type="dxa"/>
                  <w:tcBorders>
                    <w:tl2br w:val="nil"/>
                    <w:tr2bl w:val="nil"/>
                  </w:tcBorders>
                  <w:shd w:val="clear" w:color="auto" w:fill="auto"/>
                  <w:vAlign w:val="center"/>
                </w:tcPr>
                <w:p w14:paraId="7094AC4F">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461</w:t>
                  </w:r>
                </w:p>
              </w:tc>
              <w:tc>
                <w:tcPr>
                  <w:tcW w:w="703" w:type="dxa"/>
                  <w:tcBorders>
                    <w:tl2br w:val="nil"/>
                    <w:tr2bl w:val="nil"/>
                  </w:tcBorders>
                  <w:shd w:val="clear" w:color="auto" w:fill="auto"/>
                  <w:vAlign w:val="center"/>
                </w:tcPr>
                <w:p w14:paraId="269962B8">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4DADEB7A">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305298F1">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6DC2D2B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2DD4D732">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311</w:t>
                  </w:r>
                </w:p>
              </w:tc>
            </w:tr>
            <w:tr w14:paraId="0132D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239C534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平西新村</w:t>
                  </w:r>
                </w:p>
              </w:tc>
              <w:tc>
                <w:tcPr>
                  <w:tcW w:w="722" w:type="dxa"/>
                  <w:tcBorders>
                    <w:tl2br w:val="nil"/>
                    <w:tr2bl w:val="nil"/>
                  </w:tcBorders>
                  <w:shd w:val="clear" w:color="auto" w:fill="auto"/>
                  <w:vAlign w:val="center"/>
                </w:tcPr>
                <w:p w14:paraId="7A5B401D">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0</w:t>
                  </w:r>
                </w:p>
              </w:tc>
              <w:tc>
                <w:tcPr>
                  <w:tcW w:w="770" w:type="dxa"/>
                  <w:tcBorders>
                    <w:tl2br w:val="nil"/>
                    <w:tr2bl w:val="nil"/>
                  </w:tcBorders>
                  <w:shd w:val="clear" w:color="auto" w:fill="auto"/>
                  <w:vAlign w:val="center"/>
                </w:tcPr>
                <w:p w14:paraId="3D066EE9">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521</w:t>
                  </w:r>
                </w:p>
              </w:tc>
              <w:tc>
                <w:tcPr>
                  <w:tcW w:w="703" w:type="dxa"/>
                  <w:tcBorders>
                    <w:tl2br w:val="nil"/>
                    <w:tr2bl w:val="nil"/>
                  </w:tcBorders>
                  <w:shd w:val="clear" w:color="auto" w:fill="auto"/>
                  <w:vAlign w:val="center"/>
                </w:tcPr>
                <w:p w14:paraId="78A4B285">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3F697C29">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72E3F6A0">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7BB7ED2B">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北</w:t>
                  </w:r>
                </w:p>
              </w:tc>
              <w:tc>
                <w:tcPr>
                  <w:tcW w:w="1091" w:type="dxa"/>
                  <w:tcBorders>
                    <w:tl2br w:val="nil"/>
                    <w:tr2bl w:val="nil"/>
                  </w:tcBorders>
                  <w:shd w:val="clear" w:color="auto" w:fill="auto"/>
                  <w:vAlign w:val="center"/>
                </w:tcPr>
                <w:p w14:paraId="18A777E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312</w:t>
                  </w:r>
                </w:p>
              </w:tc>
            </w:tr>
            <w:tr w14:paraId="040E0E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748A459A">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通运花园</w:t>
                  </w:r>
                </w:p>
              </w:tc>
              <w:tc>
                <w:tcPr>
                  <w:tcW w:w="722" w:type="dxa"/>
                  <w:tcBorders>
                    <w:tl2br w:val="nil"/>
                    <w:tr2bl w:val="nil"/>
                  </w:tcBorders>
                  <w:shd w:val="clear" w:color="auto" w:fill="auto"/>
                  <w:vAlign w:val="center"/>
                </w:tcPr>
                <w:p w14:paraId="2839C002">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0</w:t>
                  </w:r>
                </w:p>
              </w:tc>
              <w:tc>
                <w:tcPr>
                  <w:tcW w:w="770" w:type="dxa"/>
                  <w:tcBorders>
                    <w:tl2br w:val="nil"/>
                    <w:tr2bl w:val="nil"/>
                  </w:tcBorders>
                  <w:shd w:val="clear" w:color="auto" w:fill="auto"/>
                  <w:vAlign w:val="center"/>
                </w:tcPr>
                <w:p w14:paraId="2F1975F1">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451</w:t>
                  </w:r>
                </w:p>
              </w:tc>
              <w:tc>
                <w:tcPr>
                  <w:tcW w:w="703" w:type="dxa"/>
                  <w:tcBorders>
                    <w:tl2br w:val="nil"/>
                    <w:tr2bl w:val="nil"/>
                  </w:tcBorders>
                  <w:shd w:val="clear" w:color="auto" w:fill="auto"/>
                  <w:vAlign w:val="center"/>
                </w:tcPr>
                <w:p w14:paraId="0AEF39A6">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62F1620C">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518</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59E04CA4">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650AAC90">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北</w:t>
                  </w:r>
                </w:p>
              </w:tc>
              <w:tc>
                <w:tcPr>
                  <w:tcW w:w="1091" w:type="dxa"/>
                  <w:tcBorders>
                    <w:tl2br w:val="nil"/>
                    <w:tr2bl w:val="nil"/>
                  </w:tcBorders>
                  <w:shd w:val="clear" w:color="auto" w:fill="auto"/>
                  <w:vAlign w:val="center"/>
                </w:tcPr>
                <w:p w14:paraId="1A270DA6">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333</w:t>
                  </w:r>
                </w:p>
              </w:tc>
            </w:tr>
            <w:tr w14:paraId="5C52B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1D5A5C5D">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平望镇中心幼儿园</w:t>
                  </w:r>
                </w:p>
              </w:tc>
              <w:tc>
                <w:tcPr>
                  <w:tcW w:w="722" w:type="dxa"/>
                  <w:tcBorders>
                    <w:tl2br w:val="nil"/>
                    <w:tr2bl w:val="nil"/>
                  </w:tcBorders>
                  <w:shd w:val="clear" w:color="auto" w:fill="auto"/>
                  <w:vAlign w:val="center"/>
                </w:tcPr>
                <w:p w14:paraId="4A041875">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132</w:t>
                  </w:r>
                </w:p>
              </w:tc>
              <w:tc>
                <w:tcPr>
                  <w:tcW w:w="770" w:type="dxa"/>
                  <w:tcBorders>
                    <w:tl2br w:val="nil"/>
                    <w:tr2bl w:val="nil"/>
                  </w:tcBorders>
                  <w:shd w:val="clear" w:color="auto" w:fill="auto"/>
                  <w:vAlign w:val="center"/>
                </w:tcPr>
                <w:p w14:paraId="46E74C75">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526</w:t>
                  </w:r>
                </w:p>
              </w:tc>
              <w:tc>
                <w:tcPr>
                  <w:tcW w:w="703" w:type="dxa"/>
                  <w:tcBorders>
                    <w:tl2br w:val="nil"/>
                    <w:tr2bl w:val="nil"/>
                  </w:tcBorders>
                  <w:shd w:val="clear" w:color="auto" w:fill="auto"/>
                  <w:vAlign w:val="center"/>
                </w:tcPr>
                <w:p w14:paraId="3A2B3182">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学校</w:t>
                  </w:r>
                </w:p>
              </w:tc>
              <w:tc>
                <w:tcPr>
                  <w:tcW w:w="1116" w:type="dxa"/>
                  <w:tcBorders>
                    <w:tl2br w:val="nil"/>
                    <w:tr2bl w:val="nil"/>
                  </w:tcBorders>
                  <w:shd w:val="clear" w:color="auto" w:fill="auto"/>
                  <w:vAlign w:val="center"/>
                </w:tcPr>
                <w:p w14:paraId="384203E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人</w:t>
                  </w:r>
                </w:p>
              </w:tc>
              <w:tc>
                <w:tcPr>
                  <w:tcW w:w="1283" w:type="dxa"/>
                  <w:vMerge w:val="continue"/>
                  <w:tcBorders>
                    <w:tl2br w:val="nil"/>
                    <w:tr2bl w:val="nil"/>
                  </w:tcBorders>
                  <w:shd w:val="clear" w:color="auto" w:fill="auto"/>
                  <w:vAlign w:val="center"/>
                </w:tcPr>
                <w:p w14:paraId="1B04F7BD">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18D7C2A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07B76338">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334</w:t>
                  </w:r>
                </w:p>
              </w:tc>
            </w:tr>
            <w:tr w14:paraId="449411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784B10E4">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东至浜</w:t>
                  </w:r>
                </w:p>
              </w:tc>
              <w:tc>
                <w:tcPr>
                  <w:tcW w:w="722" w:type="dxa"/>
                  <w:tcBorders>
                    <w:tl2br w:val="nil"/>
                    <w:tr2bl w:val="nil"/>
                  </w:tcBorders>
                  <w:shd w:val="clear" w:color="auto" w:fill="auto"/>
                  <w:vAlign w:val="center"/>
                </w:tcPr>
                <w:p w14:paraId="0B13CDCA">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-396</w:t>
                  </w:r>
                </w:p>
              </w:tc>
              <w:tc>
                <w:tcPr>
                  <w:tcW w:w="770" w:type="dxa"/>
                  <w:tcBorders>
                    <w:tl2br w:val="nil"/>
                    <w:tr2bl w:val="nil"/>
                  </w:tcBorders>
                  <w:shd w:val="clear" w:color="auto" w:fill="auto"/>
                  <w:vAlign w:val="center"/>
                </w:tcPr>
                <w:p w14:paraId="13B074FB">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-113</w:t>
                  </w:r>
                </w:p>
              </w:tc>
              <w:tc>
                <w:tcPr>
                  <w:tcW w:w="703" w:type="dxa"/>
                  <w:tcBorders>
                    <w:tl2br w:val="nil"/>
                    <w:tr2bl w:val="nil"/>
                  </w:tcBorders>
                  <w:shd w:val="clear" w:color="auto" w:fill="auto"/>
                  <w:vAlign w:val="center"/>
                </w:tcPr>
                <w:p w14:paraId="1E6297B4">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60C23DDE">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7740666C">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7848DB20">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东南</w:t>
                  </w:r>
                </w:p>
              </w:tc>
              <w:tc>
                <w:tcPr>
                  <w:tcW w:w="1091" w:type="dxa"/>
                  <w:tcBorders>
                    <w:tl2br w:val="nil"/>
                    <w:tr2bl w:val="nil"/>
                  </w:tcBorders>
                  <w:shd w:val="clear" w:color="auto" w:fill="auto"/>
                  <w:vAlign w:val="center"/>
                </w:tcPr>
                <w:p w14:paraId="6D747910">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340</w:t>
                  </w:r>
                </w:p>
              </w:tc>
            </w:tr>
            <w:tr w14:paraId="0A70AD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69C6FC5B">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新世纪花园晨莺小区</w:t>
                  </w:r>
                </w:p>
              </w:tc>
              <w:tc>
                <w:tcPr>
                  <w:tcW w:w="722" w:type="dxa"/>
                  <w:tcBorders>
                    <w:tl2br w:val="nil"/>
                    <w:tr2bl w:val="nil"/>
                  </w:tcBorders>
                  <w:shd w:val="clear" w:color="auto" w:fill="auto"/>
                  <w:vAlign w:val="center"/>
                </w:tcPr>
                <w:p w14:paraId="7BBD0678">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-552</w:t>
                  </w:r>
                </w:p>
              </w:tc>
              <w:tc>
                <w:tcPr>
                  <w:tcW w:w="770" w:type="dxa"/>
                  <w:tcBorders>
                    <w:tl2br w:val="nil"/>
                    <w:tr2bl w:val="nil"/>
                  </w:tcBorders>
                  <w:shd w:val="clear" w:color="auto" w:fill="auto"/>
                  <w:vAlign w:val="center"/>
                </w:tcPr>
                <w:p w14:paraId="46624F8D">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-81</w:t>
                  </w:r>
                </w:p>
              </w:tc>
              <w:tc>
                <w:tcPr>
                  <w:tcW w:w="703" w:type="dxa"/>
                  <w:tcBorders>
                    <w:tl2br w:val="nil"/>
                    <w:tr2bl w:val="nil"/>
                  </w:tcBorders>
                  <w:shd w:val="clear" w:color="auto" w:fill="auto"/>
                  <w:vAlign w:val="center"/>
                </w:tcPr>
                <w:p w14:paraId="19868051">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32067389">
                  <w:pPr>
                    <w:keepNext w:val="0"/>
                    <w:keepLines w:val="0"/>
                    <w:widowControl/>
                    <w:suppressLineNumbers w:val="0"/>
                    <w:spacing w:line="240" w:lineRule="auto"/>
                    <w:jc w:val="center"/>
                    <w:textAlignment w:val="center"/>
                    <w:rPr>
                      <w:rFonts w:hint="eastAsia" w:cs="Times New Roman"/>
                      <w:b w:val="0"/>
                      <w:bCs w:val="0"/>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322</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782884B6">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176F2341">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东南</w:t>
                  </w:r>
                </w:p>
              </w:tc>
              <w:tc>
                <w:tcPr>
                  <w:tcW w:w="1091" w:type="dxa"/>
                  <w:tcBorders>
                    <w:tl2br w:val="nil"/>
                    <w:tr2bl w:val="nil"/>
                  </w:tcBorders>
                  <w:shd w:val="clear" w:color="auto" w:fill="auto"/>
                  <w:vAlign w:val="center"/>
                </w:tcPr>
                <w:p w14:paraId="60785575">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383</w:t>
                  </w:r>
                </w:p>
              </w:tc>
            </w:tr>
            <w:tr w14:paraId="71D698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5" w:type="dxa"/>
                  <w:tcBorders>
                    <w:tl2br w:val="nil"/>
                    <w:tr2bl w:val="nil"/>
                  </w:tcBorders>
                  <w:shd w:val="clear" w:color="auto" w:fill="auto"/>
                  <w:vAlign w:val="center"/>
                </w:tcPr>
                <w:p w14:paraId="0FEDB450">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新建四弄</w:t>
                  </w:r>
                </w:p>
              </w:tc>
              <w:tc>
                <w:tcPr>
                  <w:tcW w:w="722" w:type="dxa"/>
                  <w:tcBorders>
                    <w:tl2br w:val="nil"/>
                    <w:tr2bl w:val="nil"/>
                  </w:tcBorders>
                  <w:shd w:val="clear" w:color="auto" w:fill="auto"/>
                  <w:vAlign w:val="center"/>
                </w:tcPr>
                <w:p w14:paraId="75521539">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251</w:t>
                  </w:r>
                </w:p>
              </w:tc>
              <w:tc>
                <w:tcPr>
                  <w:tcW w:w="770" w:type="dxa"/>
                  <w:tcBorders>
                    <w:tl2br w:val="nil"/>
                    <w:tr2bl w:val="nil"/>
                  </w:tcBorders>
                  <w:shd w:val="clear" w:color="auto" w:fill="auto"/>
                  <w:vAlign w:val="center"/>
                </w:tcPr>
                <w:p w14:paraId="7B08DD2B">
                  <w:pPr>
                    <w:spacing w:line="240" w:lineRule="auto"/>
                    <w:jc w:val="center"/>
                    <w:rPr>
                      <w:rFonts w:hint="default"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kern w:val="2"/>
                      <w:sz w:val="18"/>
                      <w:szCs w:val="18"/>
                      <w:highlight w:val="none"/>
                      <w:vertAlign w:val="baseline"/>
                      <w:lang w:val="en-US" w:eastAsia="zh-CN" w:bidi="ar-SA"/>
                      <w14:textFill>
                        <w14:solidFill>
                          <w14:schemeClr w14:val="tx1"/>
                        </w14:solidFill>
                      </w14:textFill>
                    </w:rPr>
                    <w:t>567</w:t>
                  </w:r>
                </w:p>
              </w:tc>
              <w:tc>
                <w:tcPr>
                  <w:tcW w:w="703" w:type="dxa"/>
                  <w:tcBorders>
                    <w:tl2br w:val="nil"/>
                    <w:tr2bl w:val="nil"/>
                  </w:tcBorders>
                  <w:shd w:val="clear" w:color="auto" w:fill="auto"/>
                  <w:vAlign w:val="center"/>
                </w:tcPr>
                <w:p w14:paraId="6F311448">
                  <w:pPr>
                    <w:keepNext w:val="0"/>
                    <w:keepLines w:val="0"/>
                    <w:widowControl/>
                    <w:suppressLineNumbers w:val="0"/>
                    <w:spacing w:line="240" w:lineRule="auto"/>
                    <w:jc w:val="center"/>
                    <w:textAlignment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居民</w:t>
                  </w:r>
                </w:p>
              </w:tc>
              <w:tc>
                <w:tcPr>
                  <w:tcW w:w="1116" w:type="dxa"/>
                  <w:tcBorders>
                    <w:tl2br w:val="nil"/>
                    <w:tr2bl w:val="nil"/>
                  </w:tcBorders>
                  <w:shd w:val="clear" w:color="auto" w:fill="auto"/>
                  <w:vAlign w:val="center"/>
                </w:tcPr>
                <w:p w14:paraId="4F4940BD">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约</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w:t>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户</w:t>
                  </w:r>
                </w:p>
              </w:tc>
              <w:tc>
                <w:tcPr>
                  <w:tcW w:w="1283" w:type="dxa"/>
                  <w:vMerge w:val="continue"/>
                  <w:tcBorders>
                    <w:tl2br w:val="nil"/>
                    <w:tr2bl w:val="nil"/>
                  </w:tcBorders>
                  <w:shd w:val="clear" w:color="auto" w:fill="auto"/>
                  <w:vAlign w:val="center"/>
                </w:tcPr>
                <w:p w14:paraId="25A3EBFA">
                  <w:pPr>
                    <w:adjustRightInd w:val="0"/>
                    <w:snapToGrid w:val="0"/>
                    <w:spacing w:line="240" w:lineRule="auto"/>
                    <w:jc w:val="center"/>
                    <w:rPr>
                      <w:rFonts w:ascii="Times New Roman" w:hAnsi="Times New Roman" w:eastAsia="宋体" w:cs="Times New Roman"/>
                      <w:snapToGrid w:val="0"/>
                      <w:color w:val="000000" w:themeColor="text1"/>
                      <w:kern w:val="2"/>
                      <w:sz w:val="18"/>
                      <w:szCs w:val="18"/>
                      <w:highlight w:val="none"/>
                      <w:lang w:val="en-US" w:eastAsia="zh-CN" w:bidi="ar-SA"/>
                      <w14:textFill>
                        <w14:solidFill>
                          <w14:schemeClr w14:val="tx1"/>
                        </w14:solidFill>
                      </w14:textFill>
                    </w:rPr>
                  </w:pPr>
                </w:p>
              </w:tc>
              <w:tc>
                <w:tcPr>
                  <w:tcW w:w="871" w:type="dxa"/>
                  <w:tcBorders>
                    <w:tl2br w:val="nil"/>
                    <w:tr2bl w:val="nil"/>
                  </w:tcBorders>
                  <w:shd w:val="clear" w:color="auto" w:fill="auto"/>
                  <w:vAlign w:val="center"/>
                </w:tcPr>
                <w:p w14:paraId="191682A3">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东北</w:t>
                  </w:r>
                </w:p>
              </w:tc>
              <w:tc>
                <w:tcPr>
                  <w:tcW w:w="1091" w:type="dxa"/>
                  <w:tcBorders>
                    <w:tl2br w:val="nil"/>
                    <w:tr2bl w:val="nil"/>
                  </w:tcBorders>
                  <w:shd w:val="clear" w:color="auto" w:fill="auto"/>
                  <w:vAlign w:val="center"/>
                </w:tcPr>
                <w:p w14:paraId="404CD813">
                  <w:pPr>
                    <w:keepNext w:val="0"/>
                    <w:keepLines w:val="0"/>
                    <w:widowControl/>
                    <w:suppressLineNumbers w:val="0"/>
                    <w:spacing w:line="240" w:lineRule="auto"/>
                    <w:jc w:val="center"/>
                    <w:textAlignment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390</w:t>
                  </w:r>
                </w:p>
              </w:tc>
            </w:tr>
          </w:tbl>
          <w:p w14:paraId="6638654C">
            <w:pPr>
              <w:adjustRightInd w:val="0"/>
              <w:snapToGrid w:val="0"/>
              <w:ind w:firstLine="180" w:firstLineChars="10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注：以本期项目中间点作为坐标原点，东向为X轴正轴，北向为Y轴正轴。</w:t>
            </w:r>
          </w:p>
          <w:p w14:paraId="1C6F80E3">
            <w:pPr>
              <w:adjustRightInd w:val="0"/>
              <w:snapToGrid w:val="0"/>
              <w:spacing w:line="48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szCs w:val="21"/>
                <w:highlight w:val="none"/>
                <w14:textFill>
                  <w14:solidFill>
                    <w14:schemeClr w14:val="tx1"/>
                  </w14:solidFill>
                </w14:textFill>
              </w:rPr>
              <w:t>声环境</w:t>
            </w: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厂界50m</w:t>
            </w:r>
            <w:r>
              <w:rPr>
                <w:rFonts w:hint="default" w:ascii="Times New Roman" w:hAnsi="Times New Roman" w:eastAsia="宋体" w:cs="Times New Roman"/>
                <w:color w:val="000000" w:themeColor="text1"/>
                <w:szCs w:val="21"/>
                <w:highlight w:val="none"/>
                <w14:textFill>
                  <w14:solidFill>
                    <w14:schemeClr w14:val="tx1"/>
                  </w14:solidFill>
                </w14:textFill>
              </w:rPr>
              <w:t>敏感目标</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详见</w:t>
            </w:r>
            <w:r>
              <w:rPr>
                <w:rFonts w:hint="default" w:ascii="Times New Roman" w:hAnsi="Times New Roman" w:eastAsia="宋体" w:cs="Times New Roman"/>
                <w:color w:val="000000" w:themeColor="text1"/>
                <w:szCs w:val="21"/>
                <w:highlight w:val="none"/>
                <w14:textFill>
                  <w14:solidFill>
                    <w14:schemeClr w14:val="tx1"/>
                  </w14:solidFill>
                </w14:textFill>
              </w:rPr>
              <w:t>声环境保护目标表。</w:t>
            </w:r>
          </w:p>
          <w:p w14:paraId="71704F6E">
            <w:pPr>
              <w:pStyle w:val="2"/>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p>
          <w:p w14:paraId="34925BAD">
            <w:pPr>
              <w:pStyle w:val="2"/>
              <w:jc w:val="cente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p>
          <w:p w14:paraId="65B9C6FB">
            <w:pP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p>
          <w:p w14:paraId="0A650D85">
            <w:pPr>
              <w:widowControl/>
              <w:jc w:val="cente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pPr>
          </w:p>
          <w:p w14:paraId="19BD9443">
            <w:pPr>
              <w:widowControl/>
              <w:jc w:val="cente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表</w:t>
            </w:r>
            <w: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t>3-</w:t>
            </w: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t xml:space="preserve">  </w:t>
            </w: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 xml:space="preserve"> 本项目厂界</w:t>
            </w:r>
            <w: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t>50m范围内声环境保护目标</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712"/>
              <w:gridCol w:w="640"/>
              <w:gridCol w:w="1102"/>
              <w:gridCol w:w="1145"/>
              <w:gridCol w:w="928"/>
              <w:gridCol w:w="890"/>
              <w:gridCol w:w="1105"/>
            </w:tblGrid>
            <w:tr w14:paraId="425DE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vMerge w:val="restart"/>
                  <w:tcBorders>
                    <w:tl2br w:val="nil"/>
                    <w:tr2bl w:val="nil"/>
                  </w:tcBorders>
                  <w:vAlign w:val="center"/>
                </w:tcPr>
                <w:p w14:paraId="547CA52E">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名称</w:t>
                  </w:r>
                </w:p>
              </w:tc>
              <w:tc>
                <w:tcPr>
                  <w:tcW w:w="1411" w:type="dxa"/>
                  <w:gridSpan w:val="2"/>
                  <w:tcBorders>
                    <w:tl2br w:val="nil"/>
                    <w:tr2bl w:val="nil"/>
                  </w:tcBorders>
                  <w:vAlign w:val="center"/>
                </w:tcPr>
                <w:p w14:paraId="05546BA2">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坐标/m</w:t>
                  </w:r>
                </w:p>
              </w:tc>
              <w:tc>
                <w:tcPr>
                  <w:tcW w:w="1212" w:type="dxa"/>
                  <w:vMerge w:val="restart"/>
                  <w:tcBorders>
                    <w:tl2br w:val="nil"/>
                    <w:tr2bl w:val="nil"/>
                  </w:tcBorders>
                  <w:vAlign w:val="center"/>
                </w:tcPr>
                <w:p w14:paraId="72109F6F">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保护对象</w:t>
                  </w:r>
                </w:p>
              </w:tc>
              <w:tc>
                <w:tcPr>
                  <w:tcW w:w="1261" w:type="dxa"/>
                  <w:vMerge w:val="restart"/>
                  <w:tcBorders>
                    <w:tl2br w:val="nil"/>
                    <w:tr2bl w:val="nil"/>
                  </w:tcBorders>
                  <w:vAlign w:val="center"/>
                </w:tcPr>
                <w:p w14:paraId="1EDFE25F">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保护内容</w:t>
                  </w:r>
                </w:p>
              </w:tc>
              <w:tc>
                <w:tcPr>
                  <w:tcW w:w="1011" w:type="dxa"/>
                  <w:vMerge w:val="restart"/>
                  <w:tcBorders>
                    <w:tl2br w:val="nil"/>
                    <w:tr2bl w:val="nil"/>
                  </w:tcBorders>
                  <w:vAlign w:val="center"/>
                </w:tcPr>
                <w:p w14:paraId="75EDBF8E">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环境功能区</w:t>
                  </w:r>
                </w:p>
              </w:tc>
              <w:tc>
                <w:tcPr>
                  <w:tcW w:w="967" w:type="dxa"/>
                  <w:vMerge w:val="restart"/>
                  <w:tcBorders>
                    <w:tl2br w:val="nil"/>
                    <w:tr2bl w:val="nil"/>
                  </w:tcBorders>
                  <w:vAlign w:val="center"/>
                </w:tcPr>
                <w:p w14:paraId="6A9E4751">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相对厂址方位</w:t>
                  </w:r>
                </w:p>
              </w:tc>
              <w:tc>
                <w:tcPr>
                  <w:tcW w:w="1212" w:type="dxa"/>
                  <w:vMerge w:val="restart"/>
                  <w:tcBorders>
                    <w:tl2br w:val="nil"/>
                    <w:tr2bl w:val="nil"/>
                  </w:tcBorders>
                  <w:vAlign w:val="center"/>
                </w:tcPr>
                <w:p w14:paraId="0EF4628C">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相对厂界距离/m</w:t>
                  </w:r>
                </w:p>
              </w:tc>
            </w:tr>
            <w:tr w14:paraId="1EA282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vMerge w:val="continue"/>
                  <w:tcBorders>
                    <w:tl2br w:val="nil"/>
                    <w:tr2bl w:val="nil"/>
                  </w:tcBorders>
                  <w:vAlign w:val="center"/>
                </w:tcPr>
                <w:p w14:paraId="23E6CEC4">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747" w:type="dxa"/>
                  <w:tcBorders>
                    <w:tl2br w:val="nil"/>
                    <w:tr2bl w:val="nil"/>
                  </w:tcBorders>
                  <w:vAlign w:val="center"/>
                </w:tcPr>
                <w:p w14:paraId="299B6FC3">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X</w:t>
                  </w:r>
                </w:p>
              </w:tc>
              <w:tc>
                <w:tcPr>
                  <w:tcW w:w="664" w:type="dxa"/>
                  <w:tcBorders>
                    <w:tl2br w:val="nil"/>
                    <w:tr2bl w:val="nil"/>
                  </w:tcBorders>
                  <w:vAlign w:val="center"/>
                </w:tcPr>
                <w:p w14:paraId="75112D98">
                  <w:pPr>
                    <w:adjustRightInd w:val="0"/>
                    <w:snapToGrid w:val="0"/>
                    <w:spacing w:line="240" w:lineRule="auto"/>
                    <w:jc w:val="center"/>
                    <w:rPr>
                      <w:rFonts w:eastAsia="仿宋_GB2312"/>
                      <w:b/>
                      <w:bCs/>
                      <w:snapToGrid w:val="0"/>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Y</w:t>
                  </w:r>
                </w:p>
              </w:tc>
              <w:tc>
                <w:tcPr>
                  <w:tcW w:w="1212" w:type="dxa"/>
                  <w:vMerge w:val="continue"/>
                  <w:tcBorders>
                    <w:tl2br w:val="nil"/>
                    <w:tr2bl w:val="nil"/>
                  </w:tcBorders>
                  <w:vAlign w:val="center"/>
                </w:tcPr>
                <w:p w14:paraId="1244328E">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261" w:type="dxa"/>
                  <w:vMerge w:val="continue"/>
                  <w:tcBorders>
                    <w:tl2br w:val="nil"/>
                    <w:tr2bl w:val="nil"/>
                  </w:tcBorders>
                  <w:vAlign w:val="center"/>
                </w:tcPr>
                <w:p w14:paraId="6B074594">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011" w:type="dxa"/>
                  <w:vMerge w:val="continue"/>
                  <w:tcBorders>
                    <w:tl2br w:val="nil"/>
                    <w:tr2bl w:val="nil"/>
                  </w:tcBorders>
                  <w:vAlign w:val="center"/>
                </w:tcPr>
                <w:p w14:paraId="546432F1">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967" w:type="dxa"/>
                  <w:vMerge w:val="continue"/>
                  <w:tcBorders>
                    <w:tl2br w:val="nil"/>
                    <w:tr2bl w:val="nil"/>
                  </w:tcBorders>
                  <w:vAlign w:val="center"/>
                </w:tcPr>
                <w:p w14:paraId="2CD2BEE0">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c>
                <w:tcPr>
                  <w:tcW w:w="1212" w:type="dxa"/>
                  <w:vMerge w:val="continue"/>
                  <w:tcBorders>
                    <w:tl2br w:val="nil"/>
                    <w:tr2bl w:val="nil"/>
                  </w:tcBorders>
                  <w:vAlign w:val="center"/>
                </w:tcPr>
                <w:p w14:paraId="237D0252">
                  <w:pPr>
                    <w:adjustRightInd w:val="0"/>
                    <w:snapToGrid w:val="0"/>
                    <w:spacing w:line="240" w:lineRule="auto"/>
                    <w:jc w:val="center"/>
                    <w:rPr>
                      <w:rFonts w:eastAsia="仿宋_GB2312"/>
                      <w:snapToGrid w:val="0"/>
                      <w:color w:val="000000" w:themeColor="text1"/>
                      <w:sz w:val="18"/>
                      <w:szCs w:val="18"/>
                      <w:highlight w:val="none"/>
                      <w14:textFill>
                        <w14:solidFill>
                          <w14:schemeClr w14:val="tx1"/>
                        </w14:solidFill>
                      </w14:textFill>
                    </w:rPr>
                  </w:pPr>
                </w:p>
              </w:tc>
            </w:tr>
            <w:tr w14:paraId="432BE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86" w:type="dxa"/>
                  <w:tcBorders>
                    <w:tl2br w:val="nil"/>
                    <w:tr2bl w:val="nil"/>
                  </w:tcBorders>
                  <w:shd w:val="clear" w:color="auto" w:fill="auto"/>
                  <w:vAlign w:val="center"/>
                </w:tcPr>
                <w:p w14:paraId="574CB049">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平运路33号</w:t>
                  </w:r>
                </w:p>
              </w:tc>
              <w:tc>
                <w:tcPr>
                  <w:tcW w:w="747" w:type="dxa"/>
                  <w:tcBorders>
                    <w:tl2br w:val="nil"/>
                    <w:tr2bl w:val="nil"/>
                  </w:tcBorders>
                  <w:shd w:val="clear" w:color="auto" w:fill="auto"/>
                  <w:vAlign w:val="center"/>
                </w:tcPr>
                <w:p w14:paraId="28C5D297">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102</w:t>
                  </w:r>
                </w:p>
              </w:tc>
              <w:tc>
                <w:tcPr>
                  <w:tcW w:w="664" w:type="dxa"/>
                  <w:tcBorders>
                    <w:tl2br w:val="nil"/>
                    <w:tr2bl w:val="nil"/>
                  </w:tcBorders>
                  <w:shd w:val="clear" w:color="auto" w:fill="auto"/>
                  <w:vAlign w:val="center"/>
                </w:tcPr>
                <w:p w14:paraId="1BC7E1BC">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163</w:t>
                  </w:r>
                </w:p>
              </w:tc>
              <w:tc>
                <w:tcPr>
                  <w:tcW w:w="1212" w:type="dxa"/>
                  <w:tcBorders>
                    <w:tl2br w:val="nil"/>
                    <w:tr2bl w:val="nil"/>
                  </w:tcBorders>
                  <w:shd w:val="clear" w:color="auto" w:fill="auto"/>
                  <w:vAlign w:val="center"/>
                </w:tcPr>
                <w:p w14:paraId="5E3660B1">
                  <w:pPr>
                    <w:spacing w:line="240" w:lineRule="auto"/>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261" w:type="dxa"/>
                  <w:tcBorders>
                    <w:tl2br w:val="nil"/>
                    <w:tr2bl w:val="nil"/>
                  </w:tcBorders>
                  <w:shd w:val="clear" w:color="auto" w:fill="auto"/>
                  <w:vAlign w:val="center"/>
                </w:tcPr>
                <w:p w14:paraId="0434DCFB">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约24户</w:t>
                  </w:r>
                </w:p>
              </w:tc>
              <w:tc>
                <w:tcPr>
                  <w:tcW w:w="1011" w:type="dxa"/>
                  <w:tcBorders>
                    <w:tl2br w:val="nil"/>
                    <w:tr2bl w:val="nil"/>
                  </w:tcBorders>
                  <w:vAlign w:val="center"/>
                </w:tcPr>
                <w:p w14:paraId="3EBB24C5">
                  <w:pPr>
                    <w:adjustRightInd w:val="0"/>
                    <w:snapToGrid w:val="0"/>
                    <w:spacing w:line="240" w:lineRule="auto"/>
                    <w:jc w:val="center"/>
                    <w:rPr>
                      <w:rFonts w:hint="default" w:eastAsia="宋体"/>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2类</w:t>
                  </w:r>
                </w:p>
              </w:tc>
              <w:tc>
                <w:tcPr>
                  <w:tcW w:w="967" w:type="dxa"/>
                  <w:tcBorders>
                    <w:tl2br w:val="nil"/>
                    <w:tr2bl w:val="nil"/>
                  </w:tcBorders>
                  <w:shd w:val="clear" w:color="auto" w:fill="auto"/>
                  <w:vAlign w:val="center"/>
                </w:tcPr>
                <w:p w14:paraId="134DD671">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东北</w:t>
                  </w:r>
                </w:p>
              </w:tc>
              <w:tc>
                <w:tcPr>
                  <w:tcW w:w="1212" w:type="dxa"/>
                  <w:tcBorders>
                    <w:tl2br w:val="nil"/>
                    <w:tr2bl w:val="nil"/>
                  </w:tcBorders>
                  <w:shd w:val="clear" w:color="auto" w:fill="auto"/>
                  <w:vAlign w:val="center"/>
                </w:tcPr>
                <w:p w14:paraId="767E8921">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019E3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tcBorders>
                    <w:tl2br w:val="nil"/>
                    <w:tr2bl w:val="nil"/>
                  </w:tcBorders>
                  <w:shd w:val="clear" w:color="auto" w:fill="auto"/>
                  <w:vAlign w:val="center"/>
                </w:tcPr>
                <w:p w14:paraId="6B391F55">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平运路37号</w:t>
                  </w:r>
                </w:p>
              </w:tc>
              <w:tc>
                <w:tcPr>
                  <w:tcW w:w="747" w:type="dxa"/>
                  <w:tcBorders>
                    <w:tl2br w:val="nil"/>
                    <w:tr2bl w:val="nil"/>
                  </w:tcBorders>
                  <w:shd w:val="clear" w:color="auto" w:fill="auto"/>
                  <w:vAlign w:val="center"/>
                </w:tcPr>
                <w:p w14:paraId="45E81924">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0</w:t>
                  </w:r>
                </w:p>
              </w:tc>
              <w:tc>
                <w:tcPr>
                  <w:tcW w:w="664" w:type="dxa"/>
                  <w:tcBorders>
                    <w:tl2br w:val="nil"/>
                    <w:tr2bl w:val="nil"/>
                  </w:tcBorders>
                  <w:shd w:val="clear" w:color="auto" w:fill="auto"/>
                  <w:vAlign w:val="center"/>
                </w:tcPr>
                <w:p w14:paraId="66D7A9B8">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74</w:t>
                  </w:r>
                </w:p>
              </w:tc>
              <w:tc>
                <w:tcPr>
                  <w:tcW w:w="1212" w:type="dxa"/>
                  <w:tcBorders>
                    <w:tl2br w:val="nil"/>
                    <w:tr2bl w:val="nil"/>
                  </w:tcBorders>
                  <w:shd w:val="clear" w:color="auto" w:fill="auto"/>
                  <w:vAlign w:val="center"/>
                </w:tcPr>
                <w:p w14:paraId="11EC8D43">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261" w:type="dxa"/>
                  <w:tcBorders>
                    <w:tl2br w:val="nil"/>
                    <w:tr2bl w:val="nil"/>
                  </w:tcBorders>
                  <w:shd w:val="clear" w:color="auto" w:fill="auto"/>
                  <w:vAlign w:val="center"/>
                </w:tcPr>
                <w:p w14:paraId="4B82A728">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约80户</w:t>
                  </w:r>
                </w:p>
              </w:tc>
              <w:tc>
                <w:tcPr>
                  <w:tcW w:w="1011" w:type="dxa"/>
                  <w:tcBorders>
                    <w:tl2br w:val="nil"/>
                    <w:tr2bl w:val="nil"/>
                  </w:tcBorders>
                  <w:vAlign w:val="center"/>
                </w:tcPr>
                <w:p w14:paraId="27D267E3">
                  <w:pPr>
                    <w:adjustRightInd w:val="0"/>
                    <w:snapToGrid w:val="0"/>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2类</w:t>
                  </w:r>
                </w:p>
              </w:tc>
              <w:tc>
                <w:tcPr>
                  <w:tcW w:w="967" w:type="dxa"/>
                  <w:tcBorders>
                    <w:tl2br w:val="nil"/>
                    <w:tr2bl w:val="nil"/>
                  </w:tcBorders>
                  <w:shd w:val="clear" w:color="auto" w:fill="auto"/>
                  <w:vAlign w:val="center"/>
                </w:tcPr>
                <w:p w14:paraId="58E13484">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北</w:t>
                  </w:r>
                </w:p>
              </w:tc>
              <w:tc>
                <w:tcPr>
                  <w:tcW w:w="1212" w:type="dxa"/>
                  <w:tcBorders>
                    <w:tl2br w:val="nil"/>
                    <w:tr2bl w:val="nil"/>
                  </w:tcBorders>
                  <w:shd w:val="clear" w:color="auto" w:fill="auto"/>
                  <w:vAlign w:val="center"/>
                </w:tcPr>
                <w:p w14:paraId="59257315">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00A0F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tcBorders>
                    <w:tl2br w:val="nil"/>
                    <w:tr2bl w:val="nil"/>
                  </w:tcBorders>
                  <w:shd w:val="clear" w:color="auto" w:fill="auto"/>
                  <w:vAlign w:val="center"/>
                </w:tcPr>
                <w:p w14:paraId="21BDEAA2">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18"/>
                      <w:szCs w:val="18"/>
                      <w:highlight w:val="none"/>
                      <w14:textFill>
                        <w14:solidFill>
                          <w14:schemeClr w14:val="tx1"/>
                        </w14:solidFill>
                      </w14:textFill>
                    </w:rPr>
                    <w:t>南斯港社区</w:t>
                  </w:r>
                  <w:r>
                    <w:rPr>
                      <w:rFonts w:hint="eastAsia" w:cs="Times New Roman"/>
                      <w:bCs/>
                      <w:color w:val="000000" w:themeColor="text1"/>
                      <w:sz w:val="18"/>
                      <w:szCs w:val="18"/>
                      <w:highlight w:val="none"/>
                      <w:lang w:val="en-US" w:eastAsia="zh-CN"/>
                      <w14:textFill>
                        <w14:solidFill>
                          <w14:schemeClr w14:val="tx1"/>
                        </w14:solidFill>
                      </w14:textFill>
                    </w:rPr>
                    <w:t>散户</w:t>
                  </w:r>
                </w:p>
              </w:tc>
              <w:tc>
                <w:tcPr>
                  <w:tcW w:w="747" w:type="dxa"/>
                  <w:tcBorders>
                    <w:tl2br w:val="nil"/>
                    <w:tr2bl w:val="nil"/>
                  </w:tcBorders>
                  <w:shd w:val="clear" w:color="auto" w:fill="auto"/>
                  <w:vAlign w:val="center"/>
                </w:tcPr>
                <w:p w14:paraId="274E7D08">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-3</w:t>
                  </w:r>
                </w:p>
              </w:tc>
              <w:tc>
                <w:tcPr>
                  <w:tcW w:w="664" w:type="dxa"/>
                  <w:tcBorders>
                    <w:tl2br w:val="nil"/>
                    <w:tr2bl w:val="nil"/>
                  </w:tcBorders>
                  <w:shd w:val="clear" w:color="auto" w:fill="auto"/>
                  <w:vAlign w:val="center"/>
                </w:tcPr>
                <w:p w14:paraId="142FBC67">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-4</w:t>
                  </w:r>
                </w:p>
              </w:tc>
              <w:tc>
                <w:tcPr>
                  <w:tcW w:w="1212" w:type="dxa"/>
                  <w:tcBorders>
                    <w:tl2br w:val="nil"/>
                    <w:tr2bl w:val="nil"/>
                  </w:tcBorders>
                  <w:shd w:val="clear" w:color="auto" w:fill="auto"/>
                  <w:vAlign w:val="center"/>
                </w:tcPr>
                <w:p w14:paraId="53ADEC35">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261" w:type="dxa"/>
                  <w:tcBorders>
                    <w:tl2br w:val="nil"/>
                    <w:tr2bl w:val="nil"/>
                  </w:tcBorders>
                  <w:shd w:val="clear" w:color="auto" w:fill="auto"/>
                  <w:vAlign w:val="center"/>
                </w:tcPr>
                <w:p w14:paraId="5546ECD7">
                  <w:pPr>
                    <w:spacing w:line="240" w:lineRule="auto"/>
                    <w:jc w:val="center"/>
                    <w:rPr>
                      <w:rFonts w:hint="eastAsia" w:ascii="Times New Roman" w:hAnsi="Times New Roman" w:eastAsia="宋体" w:cs="Times New Roman"/>
                      <w:b w:val="0"/>
                      <w:bCs w:val="0"/>
                      <w:color w:val="000000" w:themeColor="text1"/>
                      <w:kern w:val="2"/>
                      <w:sz w:val="18"/>
                      <w:szCs w:val="18"/>
                      <w:highlight w:val="none"/>
                      <w:vertAlign w:val="baseli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约3户</w:t>
                  </w:r>
                </w:p>
              </w:tc>
              <w:tc>
                <w:tcPr>
                  <w:tcW w:w="1011" w:type="dxa"/>
                  <w:tcBorders>
                    <w:tl2br w:val="nil"/>
                    <w:tr2bl w:val="nil"/>
                  </w:tcBorders>
                  <w:vAlign w:val="center"/>
                </w:tcPr>
                <w:p w14:paraId="6015749D">
                  <w:pPr>
                    <w:adjustRightInd w:val="0"/>
                    <w:snapToGrid w:val="0"/>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2类</w:t>
                  </w:r>
                </w:p>
              </w:tc>
              <w:tc>
                <w:tcPr>
                  <w:tcW w:w="967" w:type="dxa"/>
                  <w:tcBorders>
                    <w:tl2br w:val="nil"/>
                    <w:tr2bl w:val="nil"/>
                  </w:tcBorders>
                  <w:shd w:val="clear" w:color="auto" w:fill="auto"/>
                  <w:vAlign w:val="center"/>
                </w:tcPr>
                <w:p w14:paraId="2A045EBE">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西南</w:t>
                  </w:r>
                </w:p>
              </w:tc>
              <w:tc>
                <w:tcPr>
                  <w:tcW w:w="1212" w:type="dxa"/>
                  <w:tcBorders>
                    <w:tl2br w:val="nil"/>
                    <w:tr2bl w:val="nil"/>
                  </w:tcBorders>
                  <w:shd w:val="clear" w:color="auto" w:fill="auto"/>
                  <w:vAlign w:val="center"/>
                </w:tcPr>
                <w:p w14:paraId="5C7A81D2">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5</w:t>
                  </w:r>
                </w:p>
              </w:tc>
            </w:tr>
            <w:tr w14:paraId="734C89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86" w:type="dxa"/>
                  <w:tcBorders>
                    <w:tl2br w:val="nil"/>
                    <w:tr2bl w:val="nil"/>
                  </w:tcBorders>
                  <w:shd w:val="clear" w:color="auto" w:fill="auto"/>
                  <w:vAlign w:val="center"/>
                </w:tcPr>
                <w:p w14:paraId="239C910F">
                  <w:pPr>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平运路三弄</w:t>
                  </w:r>
                </w:p>
              </w:tc>
              <w:tc>
                <w:tcPr>
                  <w:tcW w:w="747" w:type="dxa"/>
                  <w:tcBorders>
                    <w:tl2br w:val="nil"/>
                    <w:tr2bl w:val="nil"/>
                  </w:tcBorders>
                  <w:shd w:val="clear" w:color="auto" w:fill="auto"/>
                  <w:vAlign w:val="center"/>
                </w:tcPr>
                <w:p w14:paraId="74B7F689">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289</w:t>
                  </w:r>
                </w:p>
              </w:tc>
              <w:tc>
                <w:tcPr>
                  <w:tcW w:w="664" w:type="dxa"/>
                  <w:tcBorders>
                    <w:tl2br w:val="nil"/>
                    <w:tr2bl w:val="nil"/>
                  </w:tcBorders>
                  <w:shd w:val="clear" w:color="auto" w:fill="auto"/>
                  <w:vAlign w:val="center"/>
                </w:tcPr>
                <w:p w14:paraId="07BB7454">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66</w:t>
                  </w:r>
                </w:p>
              </w:tc>
              <w:tc>
                <w:tcPr>
                  <w:tcW w:w="1212" w:type="dxa"/>
                  <w:tcBorders>
                    <w:tl2br w:val="nil"/>
                    <w:tr2bl w:val="nil"/>
                  </w:tcBorders>
                  <w:shd w:val="clear" w:color="auto" w:fill="auto"/>
                  <w:vAlign w:val="center"/>
                </w:tcPr>
                <w:p w14:paraId="0FBB4869">
                  <w:pPr>
                    <w:spacing w:line="240" w:lineRule="auto"/>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居民</w:t>
                  </w:r>
                </w:p>
              </w:tc>
              <w:tc>
                <w:tcPr>
                  <w:tcW w:w="1261" w:type="dxa"/>
                  <w:tcBorders>
                    <w:tl2br w:val="nil"/>
                    <w:tr2bl w:val="nil"/>
                  </w:tcBorders>
                  <w:shd w:val="clear" w:color="auto" w:fill="auto"/>
                  <w:vAlign w:val="center"/>
                </w:tcPr>
                <w:p w14:paraId="09B62524">
                  <w:pPr>
                    <w:spacing w:line="240" w:lineRule="auto"/>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 w:val="0"/>
                      <w:bCs w:val="0"/>
                      <w:color w:val="000000" w:themeColor="text1"/>
                      <w:sz w:val="18"/>
                      <w:szCs w:val="18"/>
                      <w:highlight w:val="none"/>
                      <w:vertAlign w:val="baseline"/>
                      <w:lang w:val="en-US" w:eastAsia="zh-CN"/>
                      <w14:textFill>
                        <w14:solidFill>
                          <w14:schemeClr w14:val="tx1"/>
                        </w14:solidFill>
                      </w14:textFill>
                    </w:rPr>
                    <w:t>约10户</w:t>
                  </w:r>
                </w:p>
              </w:tc>
              <w:tc>
                <w:tcPr>
                  <w:tcW w:w="1011" w:type="dxa"/>
                  <w:tcBorders>
                    <w:tl2br w:val="nil"/>
                    <w:tr2bl w:val="nil"/>
                  </w:tcBorders>
                  <w:vAlign w:val="center"/>
                </w:tcPr>
                <w:p w14:paraId="6C076CF3">
                  <w:pPr>
                    <w:adjustRightInd w:val="0"/>
                    <w:snapToGrid w:val="0"/>
                    <w:spacing w:line="240" w:lineRule="auto"/>
                    <w:jc w:val="center"/>
                    <w:rPr>
                      <w:rFonts w:hint="eastAsia"/>
                      <w:snapToGrid w:val="0"/>
                      <w:color w:val="000000" w:themeColor="text1"/>
                      <w:sz w:val="18"/>
                      <w:szCs w:val="18"/>
                      <w:highlight w:val="none"/>
                      <w:lang w:val="en-US" w:eastAsia="zh-CN"/>
                      <w14:textFill>
                        <w14:solidFill>
                          <w14:schemeClr w14:val="tx1"/>
                        </w14:solidFill>
                      </w14:textFill>
                    </w:rPr>
                  </w:pPr>
                  <w:r>
                    <w:rPr>
                      <w:rFonts w:hint="eastAsia"/>
                      <w:snapToGrid w:val="0"/>
                      <w:color w:val="000000" w:themeColor="text1"/>
                      <w:sz w:val="18"/>
                      <w:szCs w:val="18"/>
                      <w:highlight w:val="none"/>
                      <w:lang w:val="en-US" w:eastAsia="zh-CN"/>
                      <w14:textFill>
                        <w14:solidFill>
                          <w14:schemeClr w14:val="tx1"/>
                        </w14:solidFill>
                      </w14:textFill>
                    </w:rPr>
                    <w:t>2类</w:t>
                  </w:r>
                </w:p>
              </w:tc>
              <w:tc>
                <w:tcPr>
                  <w:tcW w:w="967" w:type="dxa"/>
                  <w:tcBorders>
                    <w:tl2br w:val="nil"/>
                    <w:tr2bl w:val="nil"/>
                  </w:tcBorders>
                  <w:shd w:val="clear" w:color="auto" w:fill="auto"/>
                  <w:vAlign w:val="center"/>
                </w:tcPr>
                <w:p w14:paraId="14D93360">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东北</w:t>
                  </w:r>
                </w:p>
              </w:tc>
              <w:tc>
                <w:tcPr>
                  <w:tcW w:w="1212" w:type="dxa"/>
                  <w:tcBorders>
                    <w:tl2br w:val="nil"/>
                    <w:tr2bl w:val="nil"/>
                  </w:tcBorders>
                  <w:shd w:val="clear" w:color="auto" w:fill="auto"/>
                  <w:vAlign w:val="center"/>
                </w:tcPr>
                <w:p w14:paraId="4586365F">
                  <w:pPr>
                    <w:adjustRightInd w:val="0"/>
                    <w:snapToGrid w:val="0"/>
                    <w:spacing w:line="240" w:lineRule="auto"/>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8</w:t>
                  </w:r>
                </w:p>
              </w:tc>
            </w:tr>
          </w:tbl>
          <w:p w14:paraId="2C61F752">
            <w:pPr>
              <w:numPr>
                <w:ilvl w:val="0"/>
                <w:numId w:val="7"/>
              </w:numPr>
              <w:adjustRightInd w:val="0"/>
              <w:snapToGrid w:val="0"/>
              <w:spacing w:line="460" w:lineRule="exact"/>
              <w:ind w:left="932" w:leftChars="0" w:hanging="360" w:firstLineChars="0"/>
              <w:jc w:val="left"/>
              <w:rPr>
                <w:rFonts w:hint="eastAsia" w:cs="Times New Roman"/>
                <w:b w:val="0"/>
                <w:bCs w:val="0"/>
                <w:color w:val="000000" w:themeColor="text1"/>
                <w:szCs w:val="21"/>
                <w:highlight w:val="none"/>
                <w:lang w:val="en-US" w:eastAsia="zh-CN"/>
                <w14:textFill>
                  <w14:solidFill>
                    <w14:schemeClr w14:val="tx1"/>
                  </w14:solidFill>
                </w14:textFill>
              </w:rPr>
            </w:pPr>
            <w:r>
              <w:rPr>
                <w:rFonts w:hint="eastAsia" w:cs="Times New Roman"/>
                <w:b/>
                <w:bCs/>
                <w:color w:val="000000" w:themeColor="text1"/>
                <w:szCs w:val="21"/>
                <w:highlight w:val="none"/>
                <w:lang w:val="en-US" w:eastAsia="zh-CN"/>
                <w14:textFill>
                  <w14:solidFill>
                    <w14:schemeClr w14:val="tx1"/>
                  </w14:solidFill>
                </w14:textFill>
              </w:rPr>
              <w:t>地表水环境：</w:t>
            </w:r>
            <w:r>
              <w:rPr>
                <w:rFonts w:hint="eastAsia" w:cs="Times New Roman"/>
                <w:b w:val="0"/>
                <w:bCs w:val="0"/>
                <w:color w:val="000000" w:themeColor="text1"/>
                <w:szCs w:val="21"/>
                <w:highlight w:val="none"/>
                <w:lang w:val="en-US" w:eastAsia="zh-CN"/>
                <w14:textFill>
                  <w14:solidFill>
                    <w14:schemeClr w14:val="tx1"/>
                  </w14:solidFill>
                </w14:textFill>
              </w:rPr>
              <w:t>本项目周边地表水环境保护目标见下表。</w:t>
            </w:r>
          </w:p>
          <w:p w14:paraId="35E13A14">
            <w:pPr>
              <w:pStyle w:val="45"/>
              <w:numPr>
                <w:ilvl w:val="0"/>
                <w:numId w:val="0"/>
              </w:numPr>
              <w:ind w:left="572" w:leftChars="0"/>
              <w:jc w:val="center"/>
              <w:rPr>
                <w:rFonts w:hint="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表</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3-</w:t>
            </w:r>
            <w:r>
              <w:rPr>
                <w:rFonts w:hint="eastAsia" w:cs="Times New Roman"/>
                <w:b w:val="0"/>
                <w:bCs w:val="0"/>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 xml:space="preserve">  </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 xml:space="preserve"> 本项目</w:t>
            </w:r>
            <w:r>
              <w:rPr>
                <w:rFonts w:hint="eastAsia" w:cs="Times New Roman"/>
                <w:b w:val="0"/>
                <w:bCs w:val="0"/>
                <w:color w:val="000000" w:themeColor="text1"/>
                <w:sz w:val="21"/>
                <w:szCs w:val="21"/>
                <w:highlight w:val="none"/>
                <w:lang w:val="en-US" w:eastAsia="zh-CN"/>
                <w14:textFill>
                  <w14:solidFill>
                    <w14:schemeClr w14:val="tx1"/>
                  </w14:solidFill>
                </w14:textFill>
              </w:rPr>
              <w:t>周边地表水</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环境</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保护目标</w:t>
            </w:r>
          </w:p>
          <w:tbl>
            <w:tblPr>
              <w:tblStyle w:val="36"/>
              <w:tblW w:w="4998" w:type="pct"/>
              <w:tblInd w:w="-15" w:type="dxa"/>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Layout w:type="autofit"/>
              <w:tblCellMar>
                <w:top w:w="0" w:type="dxa"/>
                <w:left w:w="0" w:type="dxa"/>
                <w:bottom w:w="0" w:type="dxa"/>
                <w:right w:w="0" w:type="dxa"/>
              </w:tblCellMar>
            </w:tblPr>
            <w:tblGrid>
              <w:gridCol w:w="793"/>
              <w:gridCol w:w="1649"/>
              <w:gridCol w:w="1374"/>
              <w:gridCol w:w="1376"/>
              <w:gridCol w:w="711"/>
              <w:gridCol w:w="2302"/>
            </w:tblGrid>
            <w:tr w14:paraId="1F5F974D">
              <w:tblPrEx>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CellMar>
                  <w:top w:w="0" w:type="dxa"/>
                  <w:left w:w="0" w:type="dxa"/>
                  <w:bottom w:w="0" w:type="dxa"/>
                  <w:right w:w="0" w:type="dxa"/>
                </w:tblCellMar>
              </w:tblPrEx>
              <w:trPr>
                <w:trHeight w:val="340" w:hRule="atLeast"/>
              </w:trPr>
              <w:tc>
                <w:tcPr>
                  <w:tcW w:w="483" w:type="pct"/>
                  <w:tcBorders>
                    <w:tl2br w:val="nil"/>
                    <w:tr2bl w:val="nil"/>
                  </w:tcBorders>
                  <w:noWrap w:val="0"/>
                  <w:vAlign w:val="center"/>
                </w:tcPr>
                <w:p w14:paraId="24BB20C2">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t>环境要素</w:t>
                  </w:r>
                </w:p>
              </w:tc>
              <w:tc>
                <w:tcPr>
                  <w:tcW w:w="1004" w:type="pct"/>
                  <w:tcBorders>
                    <w:tl2br w:val="nil"/>
                    <w:tr2bl w:val="nil"/>
                  </w:tcBorders>
                  <w:noWrap w:val="0"/>
                  <w:vAlign w:val="center"/>
                </w:tcPr>
                <w:p w14:paraId="75AF8ED8">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t>环境保护对象名称</w:t>
                  </w:r>
                </w:p>
              </w:tc>
              <w:tc>
                <w:tcPr>
                  <w:tcW w:w="837" w:type="pct"/>
                  <w:tcBorders>
                    <w:tl2br w:val="nil"/>
                    <w:tr2bl w:val="nil"/>
                  </w:tcBorders>
                  <w:noWrap w:val="0"/>
                  <w:vAlign w:val="center"/>
                </w:tcPr>
                <w:p w14:paraId="0F6ABBF9">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相对厂址方位</w:t>
                  </w:r>
                </w:p>
              </w:tc>
              <w:tc>
                <w:tcPr>
                  <w:tcW w:w="838" w:type="pct"/>
                  <w:tcBorders>
                    <w:tl2br w:val="nil"/>
                    <w:tr2bl w:val="nil"/>
                  </w:tcBorders>
                  <w:noWrap w:val="0"/>
                  <w:vAlign w:val="center"/>
                </w:tcPr>
                <w:p w14:paraId="43D2B6C0">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pPr>
                  <w:r>
                    <w:rPr>
                      <w:b w:val="0"/>
                      <w:bCs w:val="0"/>
                      <w:color w:val="000000" w:themeColor="text1"/>
                      <w:sz w:val="18"/>
                      <w:szCs w:val="18"/>
                      <w:highlight w:val="none"/>
                      <w14:textFill>
                        <w14:solidFill>
                          <w14:schemeClr w14:val="tx1"/>
                        </w14:solidFill>
                      </w14:textFill>
                    </w:rPr>
                    <w:t>相对厂界距离/m</w:t>
                  </w:r>
                </w:p>
              </w:tc>
              <w:tc>
                <w:tcPr>
                  <w:tcW w:w="433" w:type="pct"/>
                  <w:tcBorders>
                    <w:tl2br w:val="nil"/>
                    <w:tr2bl w:val="nil"/>
                  </w:tcBorders>
                  <w:noWrap w:val="0"/>
                  <w:vAlign w:val="center"/>
                </w:tcPr>
                <w:p w14:paraId="6C9D17EE">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t>规模</w:t>
                  </w:r>
                </w:p>
              </w:tc>
              <w:tc>
                <w:tcPr>
                  <w:tcW w:w="1402" w:type="pct"/>
                  <w:tcBorders>
                    <w:tl2br w:val="nil"/>
                    <w:tr2bl w:val="nil"/>
                  </w:tcBorders>
                  <w:noWrap w:val="0"/>
                  <w:vAlign w:val="center"/>
                </w:tcPr>
                <w:p w14:paraId="43FD2A7B">
                  <w:pPr>
                    <w:autoSpaceDE/>
                    <w:autoSpaceDN/>
                    <w:adjustRightInd w:val="0"/>
                    <w:snapToGrid w:val="0"/>
                    <w:spacing w:line="240" w:lineRule="auto"/>
                    <w:jc w:val="center"/>
                    <w:rPr>
                      <w:rFonts w:hint="default" w:ascii="Times New Roman" w:hAnsi="Times New Roman" w:eastAsia="宋体" w:cs="Times New Roman"/>
                      <w:b w:val="0"/>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环境功能区</w:t>
                  </w:r>
                </w:p>
              </w:tc>
            </w:tr>
            <w:tr w14:paraId="32E7F662">
              <w:tblPrEx>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CellMar>
                  <w:top w:w="0" w:type="dxa"/>
                  <w:left w:w="0" w:type="dxa"/>
                  <w:bottom w:w="0" w:type="dxa"/>
                  <w:right w:w="0" w:type="dxa"/>
                </w:tblCellMar>
              </w:tblPrEx>
              <w:trPr>
                <w:trHeight w:val="340" w:hRule="atLeast"/>
              </w:trPr>
              <w:tc>
                <w:tcPr>
                  <w:tcW w:w="483" w:type="pct"/>
                  <w:vMerge w:val="restart"/>
                  <w:tcBorders>
                    <w:tl2br w:val="nil"/>
                    <w:tr2bl w:val="nil"/>
                  </w:tcBorders>
                  <w:noWrap w:val="0"/>
                  <w:vAlign w:val="center"/>
                </w:tcPr>
                <w:p w14:paraId="4C0D6DC3">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地表水</w:t>
                  </w:r>
                </w:p>
              </w:tc>
              <w:tc>
                <w:tcPr>
                  <w:tcW w:w="1004" w:type="pct"/>
                  <w:tcBorders>
                    <w:tl2br w:val="nil"/>
                    <w:tr2bl w:val="nil"/>
                  </w:tcBorders>
                  <w:noWrap w:val="0"/>
                  <w:vAlign w:val="center"/>
                </w:tcPr>
                <w:p w14:paraId="3B684C01">
                  <w:pPr>
                    <w:autoSpaceDE/>
                    <w:autoSpaceDN/>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新运河</w:t>
                  </w:r>
                </w:p>
              </w:tc>
              <w:tc>
                <w:tcPr>
                  <w:tcW w:w="837" w:type="pct"/>
                  <w:tcBorders>
                    <w:tl2br w:val="nil"/>
                    <w:tr2bl w:val="nil"/>
                  </w:tcBorders>
                  <w:noWrap w:val="0"/>
                  <w:vAlign w:val="center"/>
                </w:tcPr>
                <w:p w14:paraId="69CFF3BC">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西</w:t>
                  </w:r>
                </w:p>
              </w:tc>
              <w:tc>
                <w:tcPr>
                  <w:tcW w:w="838" w:type="pct"/>
                  <w:tcBorders>
                    <w:tl2br w:val="nil"/>
                    <w:tr2bl w:val="nil"/>
                  </w:tcBorders>
                  <w:noWrap w:val="0"/>
                  <w:vAlign w:val="center"/>
                </w:tcPr>
                <w:p w14:paraId="0B70427C">
                  <w:pPr>
                    <w:autoSpaceDE/>
                    <w:autoSpaceDN/>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6</w:t>
                  </w:r>
                </w:p>
              </w:tc>
              <w:tc>
                <w:tcPr>
                  <w:tcW w:w="433" w:type="pct"/>
                  <w:tcBorders>
                    <w:tl2br w:val="nil"/>
                    <w:tr2bl w:val="nil"/>
                  </w:tcBorders>
                  <w:noWrap w:val="0"/>
                  <w:vAlign w:val="center"/>
                </w:tcPr>
                <w:p w14:paraId="2CC047D0">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中河</w:t>
                  </w:r>
                </w:p>
              </w:tc>
              <w:tc>
                <w:tcPr>
                  <w:tcW w:w="1402" w:type="pct"/>
                  <w:vMerge w:val="restart"/>
                  <w:tcBorders>
                    <w:tl2br w:val="nil"/>
                    <w:tr2bl w:val="nil"/>
                  </w:tcBorders>
                  <w:noWrap w:val="0"/>
                  <w:vAlign w:val="center"/>
                </w:tcPr>
                <w:p w14:paraId="228837EE">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《地表水环境质量标准》</w:t>
                  </w:r>
                </w:p>
                <w:p w14:paraId="3BDA702A">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（GB3838-2002）Ⅳ类功能区</w:t>
                  </w:r>
                </w:p>
              </w:tc>
            </w:tr>
            <w:tr w14:paraId="03366E2D">
              <w:tblPrEx>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CellMar>
                  <w:top w:w="0" w:type="dxa"/>
                  <w:left w:w="0" w:type="dxa"/>
                  <w:bottom w:w="0" w:type="dxa"/>
                  <w:right w:w="0" w:type="dxa"/>
                </w:tblCellMar>
              </w:tblPrEx>
              <w:trPr>
                <w:trHeight w:val="317" w:hRule="atLeast"/>
              </w:trPr>
              <w:tc>
                <w:tcPr>
                  <w:tcW w:w="483" w:type="pct"/>
                  <w:vMerge w:val="continue"/>
                  <w:tcBorders>
                    <w:tl2br w:val="nil"/>
                    <w:tr2bl w:val="nil"/>
                  </w:tcBorders>
                  <w:noWrap w:val="0"/>
                  <w:vAlign w:val="center"/>
                </w:tcPr>
                <w:p w14:paraId="0B05D7B0">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c>
                <w:tcPr>
                  <w:tcW w:w="1004" w:type="pct"/>
                  <w:tcBorders>
                    <w:tl2br w:val="nil"/>
                    <w:tr2bl w:val="nil"/>
                  </w:tcBorders>
                  <w:noWrap w:val="0"/>
                  <w:vAlign w:val="center"/>
                </w:tcPr>
                <w:p w14:paraId="0D5E29CA">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頔塘河</w:t>
                  </w:r>
                </w:p>
              </w:tc>
              <w:tc>
                <w:tcPr>
                  <w:tcW w:w="837" w:type="pct"/>
                  <w:tcBorders>
                    <w:tl2br w:val="nil"/>
                    <w:tr2bl w:val="nil"/>
                  </w:tcBorders>
                  <w:noWrap w:val="0"/>
                  <w:vAlign w:val="center"/>
                </w:tcPr>
                <w:p w14:paraId="0B5E8EE7">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西南</w:t>
                  </w:r>
                </w:p>
              </w:tc>
              <w:tc>
                <w:tcPr>
                  <w:tcW w:w="838" w:type="pct"/>
                  <w:tcBorders>
                    <w:tl2br w:val="nil"/>
                    <w:tr2bl w:val="nil"/>
                  </w:tcBorders>
                  <w:noWrap w:val="0"/>
                  <w:vAlign w:val="center"/>
                </w:tcPr>
                <w:p w14:paraId="23E2CAFB">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240</w:t>
                  </w:r>
                </w:p>
              </w:tc>
              <w:tc>
                <w:tcPr>
                  <w:tcW w:w="433" w:type="pct"/>
                  <w:tcBorders>
                    <w:tl2br w:val="nil"/>
                    <w:tr2bl w:val="nil"/>
                  </w:tcBorders>
                  <w:noWrap w:val="0"/>
                  <w:vAlign w:val="center"/>
                </w:tcPr>
                <w:p w14:paraId="4D661F37">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中河</w:t>
                  </w:r>
                </w:p>
              </w:tc>
              <w:tc>
                <w:tcPr>
                  <w:tcW w:w="1402" w:type="pct"/>
                  <w:vMerge w:val="continue"/>
                  <w:tcBorders>
                    <w:tl2br w:val="nil"/>
                    <w:tr2bl w:val="nil"/>
                  </w:tcBorders>
                  <w:noWrap w:val="0"/>
                  <w:vAlign w:val="center"/>
                </w:tcPr>
                <w:p w14:paraId="59436BC0">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r>
            <w:tr w14:paraId="241AAB7D">
              <w:tblPrEx>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CellMar>
                  <w:top w:w="0" w:type="dxa"/>
                  <w:left w:w="0" w:type="dxa"/>
                  <w:bottom w:w="0" w:type="dxa"/>
                  <w:right w:w="0" w:type="dxa"/>
                </w:tblCellMar>
              </w:tblPrEx>
              <w:trPr>
                <w:trHeight w:val="340" w:hRule="atLeast"/>
              </w:trPr>
              <w:tc>
                <w:tcPr>
                  <w:tcW w:w="483" w:type="pct"/>
                  <w:vMerge w:val="continue"/>
                  <w:tcBorders>
                    <w:tl2br w:val="nil"/>
                    <w:tr2bl w:val="nil"/>
                  </w:tcBorders>
                  <w:noWrap w:val="0"/>
                  <w:vAlign w:val="center"/>
                </w:tcPr>
                <w:p w14:paraId="4554ED1D">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c>
                <w:tcPr>
                  <w:tcW w:w="1004" w:type="pct"/>
                  <w:tcBorders>
                    <w:tl2br w:val="nil"/>
                    <w:tr2bl w:val="nil"/>
                  </w:tcBorders>
                  <w:noWrap w:val="0"/>
                  <w:vAlign w:val="center"/>
                </w:tcPr>
                <w:p w14:paraId="0066FF9B">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草荡</w:t>
                  </w:r>
                </w:p>
              </w:tc>
              <w:tc>
                <w:tcPr>
                  <w:tcW w:w="837" w:type="pct"/>
                  <w:tcBorders>
                    <w:tl2br w:val="nil"/>
                    <w:tr2bl w:val="nil"/>
                  </w:tcBorders>
                  <w:noWrap w:val="0"/>
                  <w:vAlign w:val="center"/>
                </w:tcPr>
                <w:p w14:paraId="3E0F5683">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西南</w:t>
                  </w:r>
                </w:p>
              </w:tc>
              <w:tc>
                <w:tcPr>
                  <w:tcW w:w="838" w:type="pct"/>
                  <w:tcBorders>
                    <w:tl2br w:val="nil"/>
                    <w:tr2bl w:val="nil"/>
                  </w:tcBorders>
                  <w:noWrap w:val="0"/>
                  <w:vAlign w:val="center"/>
                </w:tcPr>
                <w:p w14:paraId="57682D7C">
                  <w:pPr>
                    <w:autoSpaceDE/>
                    <w:autoSpaceDN/>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5</w:t>
                  </w:r>
                </w:p>
              </w:tc>
              <w:tc>
                <w:tcPr>
                  <w:tcW w:w="433" w:type="pct"/>
                  <w:tcBorders>
                    <w:tl2br w:val="nil"/>
                    <w:tr2bl w:val="nil"/>
                  </w:tcBorders>
                  <w:noWrap w:val="0"/>
                  <w:vAlign w:val="center"/>
                </w:tcPr>
                <w:p w14:paraId="74684FDA">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t>小湖</w:t>
                  </w:r>
                </w:p>
              </w:tc>
              <w:tc>
                <w:tcPr>
                  <w:tcW w:w="1402" w:type="pct"/>
                  <w:vMerge w:val="continue"/>
                  <w:tcBorders>
                    <w:tl2br w:val="nil"/>
                    <w:tr2bl w:val="nil"/>
                  </w:tcBorders>
                  <w:noWrap w:val="0"/>
                  <w:vAlign w:val="center"/>
                </w:tcPr>
                <w:p w14:paraId="0D4C7B3D">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r>
            <w:tr w14:paraId="54D9D46B">
              <w:tblPrEx>
                <w:tblBorders>
                  <w:top w:val="single" w:color="010101" w:sz="12" w:space="0"/>
                  <w:left w:val="single" w:color="010101" w:sz="12" w:space="0"/>
                  <w:bottom w:val="single" w:color="010101" w:sz="12" w:space="0"/>
                  <w:right w:val="single" w:color="010101" w:sz="12" w:space="0"/>
                  <w:insideH w:val="single" w:color="010101" w:sz="4" w:space="0"/>
                  <w:insideV w:val="single" w:color="010101" w:sz="4" w:space="0"/>
                </w:tblBorders>
                <w:tblCellMar>
                  <w:top w:w="0" w:type="dxa"/>
                  <w:left w:w="0" w:type="dxa"/>
                  <w:bottom w:w="0" w:type="dxa"/>
                  <w:right w:w="0" w:type="dxa"/>
                </w:tblCellMar>
              </w:tblPrEx>
              <w:trPr>
                <w:trHeight w:val="340" w:hRule="atLeast"/>
              </w:trPr>
              <w:tc>
                <w:tcPr>
                  <w:tcW w:w="483" w:type="pct"/>
                  <w:vMerge w:val="continue"/>
                  <w:tcBorders>
                    <w:tl2br w:val="nil"/>
                    <w:tr2bl w:val="nil"/>
                  </w:tcBorders>
                  <w:noWrap w:val="0"/>
                  <w:vAlign w:val="center"/>
                </w:tcPr>
                <w:p w14:paraId="3909123A">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c>
                <w:tcPr>
                  <w:tcW w:w="1004" w:type="pct"/>
                  <w:tcBorders>
                    <w:tl2br w:val="nil"/>
                    <w:tr2bl w:val="nil"/>
                  </w:tcBorders>
                  <w:noWrap w:val="0"/>
                  <w:vAlign w:val="center"/>
                </w:tcPr>
                <w:p w14:paraId="542C69A5">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kern w:val="2"/>
                      <w:sz w:val="18"/>
                      <w:szCs w:val="18"/>
                      <w:highlight w:val="none"/>
                      <w:lang w:val="en-US" w:eastAsia="zh-CN" w:bidi="ar-SA"/>
                      <w14:textFill>
                        <w14:solidFill>
                          <w14:schemeClr w14:val="tx1"/>
                        </w14:solidFill>
                      </w14:textFill>
                    </w:rPr>
                    <w:t>京杭运河</w:t>
                  </w:r>
                </w:p>
              </w:tc>
              <w:tc>
                <w:tcPr>
                  <w:tcW w:w="837" w:type="pct"/>
                  <w:tcBorders>
                    <w:tl2br w:val="nil"/>
                    <w:tr2bl w:val="nil"/>
                  </w:tcBorders>
                  <w:noWrap w:val="0"/>
                  <w:vAlign w:val="center"/>
                </w:tcPr>
                <w:p w14:paraId="35991F1C">
                  <w:pPr>
                    <w:autoSpaceDE/>
                    <w:autoSpaceDN/>
                    <w:adjustRightInd w:val="0"/>
                    <w:snapToGrid w:val="0"/>
                    <w:spacing w:line="240" w:lineRule="auto"/>
                    <w:jc w:val="cente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kern w:val="2"/>
                      <w:sz w:val="18"/>
                      <w:szCs w:val="18"/>
                      <w:highlight w:val="none"/>
                      <w:lang w:val="en-US" w:eastAsia="zh-CN" w:bidi="ar-SA"/>
                      <w14:textFill>
                        <w14:solidFill>
                          <w14:schemeClr w14:val="tx1"/>
                        </w14:solidFill>
                      </w14:textFill>
                    </w:rPr>
                    <w:t>东北</w:t>
                  </w:r>
                </w:p>
              </w:tc>
              <w:tc>
                <w:tcPr>
                  <w:tcW w:w="838" w:type="pct"/>
                  <w:tcBorders>
                    <w:tl2br w:val="nil"/>
                    <w:tr2bl w:val="nil"/>
                  </w:tcBorders>
                  <w:noWrap w:val="0"/>
                  <w:vAlign w:val="center"/>
                </w:tcPr>
                <w:p w14:paraId="4F521E79">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kern w:val="2"/>
                      <w:sz w:val="18"/>
                      <w:szCs w:val="18"/>
                      <w:highlight w:val="none"/>
                      <w:lang w:val="en-US" w:eastAsia="zh-CN" w:bidi="ar-SA"/>
                      <w14:textFill>
                        <w14:solidFill>
                          <w14:schemeClr w14:val="tx1"/>
                        </w14:solidFill>
                      </w14:textFill>
                    </w:rPr>
                    <w:t>1030</w:t>
                  </w:r>
                </w:p>
              </w:tc>
              <w:tc>
                <w:tcPr>
                  <w:tcW w:w="433" w:type="pct"/>
                  <w:tcBorders>
                    <w:tl2br w:val="nil"/>
                    <w:tr2bl w:val="nil"/>
                  </w:tcBorders>
                  <w:noWrap w:val="0"/>
                  <w:vAlign w:val="center"/>
                </w:tcPr>
                <w:p w14:paraId="77629ECA">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pPr>
                  <w:r>
                    <w:rPr>
                      <w:rFonts w:hint="eastAsia" w:cs="Times New Roman"/>
                      <w:bCs/>
                      <w:color w:val="000000" w:themeColor="text1"/>
                      <w:kern w:val="2"/>
                      <w:sz w:val="18"/>
                      <w:szCs w:val="18"/>
                      <w:highlight w:val="none"/>
                      <w:lang w:val="en-US" w:eastAsia="zh-CN" w:bidi="ar-SA"/>
                      <w14:textFill>
                        <w14:solidFill>
                          <w14:schemeClr w14:val="tx1"/>
                        </w14:solidFill>
                      </w14:textFill>
                    </w:rPr>
                    <w:t>中河</w:t>
                  </w:r>
                </w:p>
              </w:tc>
              <w:tc>
                <w:tcPr>
                  <w:tcW w:w="1402" w:type="pct"/>
                  <w:vMerge w:val="continue"/>
                  <w:tcBorders>
                    <w:tl2br w:val="nil"/>
                    <w:tr2bl w:val="nil"/>
                  </w:tcBorders>
                  <w:noWrap w:val="0"/>
                  <w:vAlign w:val="center"/>
                </w:tcPr>
                <w:p w14:paraId="4969D996">
                  <w:pPr>
                    <w:autoSpaceDE/>
                    <w:autoSpaceDN/>
                    <w:adjustRightInd w:val="0"/>
                    <w:snapToGrid w:val="0"/>
                    <w:spacing w:line="240" w:lineRule="auto"/>
                    <w:jc w:val="center"/>
                    <w:rPr>
                      <w:rFonts w:hint="default" w:ascii="Times New Roman" w:hAnsi="Times New Roman" w:eastAsia="宋体" w:cs="Times New Roman"/>
                      <w:bCs/>
                      <w:color w:val="000000" w:themeColor="text1"/>
                      <w:kern w:val="2"/>
                      <w:sz w:val="18"/>
                      <w:szCs w:val="18"/>
                      <w:highlight w:val="none"/>
                      <w:lang w:val="en-US" w:bidi="ar-SA"/>
                      <w14:textFill>
                        <w14:solidFill>
                          <w14:schemeClr w14:val="tx1"/>
                        </w14:solidFill>
                      </w14:textFill>
                    </w:rPr>
                  </w:pPr>
                </w:p>
              </w:tc>
            </w:tr>
          </w:tbl>
          <w:p w14:paraId="0B399E75">
            <w:pPr>
              <w:adjustRightInd w:val="0"/>
              <w:snapToGrid w:val="0"/>
              <w:spacing w:line="460" w:lineRule="exact"/>
              <w:ind w:firstLine="422"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cs="Times New Roman"/>
                <w:b/>
                <w:bCs/>
                <w:color w:val="000000" w:themeColor="text1"/>
                <w:szCs w:val="21"/>
                <w:highlight w:val="none"/>
                <w:lang w:val="en-US" w:eastAsia="zh-CN"/>
                <w14:textFill>
                  <w14:solidFill>
                    <w14:schemeClr w14:val="tx1"/>
                  </w14:solidFill>
                </w14:textFill>
              </w:rPr>
              <w:t>4</w:t>
            </w:r>
            <w:r>
              <w:rPr>
                <w:rFonts w:hint="default" w:ascii="Times New Roman" w:hAnsi="Times New Roman" w:eastAsia="宋体" w:cs="Times New Roman"/>
                <w:b/>
                <w:bCs/>
                <w:color w:val="000000" w:themeColor="text1"/>
                <w:szCs w:val="21"/>
                <w:highlight w:val="none"/>
                <w14:textFill>
                  <w14:solidFill>
                    <w14:schemeClr w14:val="tx1"/>
                  </w14:solidFill>
                </w14:textFill>
              </w:rPr>
              <w:t>、地下水环境</w:t>
            </w:r>
            <w:r>
              <w:rPr>
                <w:rFonts w:hint="default" w:ascii="Times New Roman" w:hAnsi="Times New Roman" w:eastAsia="宋体" w:cs="Times New Roman"/>
                <w:color w:val="000000" w:themeColor="text1"/>
                <w:szCs w:val="21"/>
                <w:highlight w:val="none"/>
                <w14:textFill>
                  <w14:solidFill>
                    <w14:schemeClr w14:val="tx1"/>
                  </w14:solidFill>
                </w14:textFill>
              </w:rPr>
              <w:t xml:space="preserve">：本期项目厂界外500m范围内无地下水集中式饮用水水源和热水、矿泉水、温泉等。 </w:t>
            </w:r>
          </w:p>
          <w:p w14:paraId="587E735E">
            <w:pPr>
              <w:pStyle w:val="20"/>
              <w:spacing w:line="360" w:lineRule="auto"/>
              <w:ind w:left="420" w:leftChars="200"/>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b/>
                <w:bCs/>
                <w:color w:val="000000" w:themeColor="text1"/>
                <w:szCs w:val="21"/>
                <w:highlight w:val="none"/>
                <w14:textFill>
                  <w14:solidFill>
                    <w14:schemeClr w14:val="tx1"/>
                  </w14:solidFill>
                </w14:textFill>
              </w:rPr>
              <w:t>、</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生态环境</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本项目周边生态环境保护目标见下表。</w:t>
            </w:r>
          </w:p>
          <w:p w14:paraId="7C7333D4">
            <w:pPr>
              <w:widowControl/>
              <w:jc w:val="center"/>
              <w:rPr>
                <w:rFonts w:hint="default" w:ascii="Times New Roman" w:hAnsi="Times New Roman" w:eastAsia="宋体" w:cs="Times New Roman"/>
                <w:b w:val="0"/>
                <w:bCs/>
                <w:color w:val="000000" w:themeColor="text1"/>
                <w:szCs w:val="21"/>
                <w:highlight w:val="none"/>
                <w14:textFill>
                  <w14:solidFill>
                    <w14:schemeClr w14:val="tx1"/>
                  </w14:solidFill>
                </w14:textFill>
              </w:rPr>
            </w:pPr>
            <w:r>
              <w:rPr>
                <w:rFonts w:hint="default" w:ascii="Times New Roman" w:hAnsi="Times New Roman" w:eastAsia="宋体" w:cs="Times New Roman"/>
                <w:b w:val="0"/>
                <w:bCs/>
                <w:color w:val="000000" w:themeColor="text1"/>
                <w:szCs w:val="21"/>
                <w:highlight w:val="none"/>
                <w14:textFill>
                  <w14:solidFill>
                    <w14:schemeClr w14:val="tx1"/>
                  </w14:solidFill>
                </w14:textFill>
              </w:rPr>
              <w:t>表3-</w:t>
            </w:r>
            <w:r>
              <w:rPr>
                <w:rFonts w:hint="eastAsia" w:cs="Times New Roman"/>
                <w:b w:val="0"/>
                <w:bCs/>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Cs w:val="21"/>
                <w:highlight w:val="none"/>
                <w14:textFill>
                  <w14:solidFill>
                    <w14:schemeClr w14:val="tx1"/>
                  </w14:solidFill>
                </w14:textFill>
              </w:rPr>
              <w:t xml:space="preserve">  本项目生态环境保护目标表</w:t>
            </w:r>
          </w:p>
          <w:tbl>
            <w:tblPr>
              <w:tblStyle w:val="36"/>
              <w:tblW w:w="82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027"/>
              <w:gridCol w:w="1262"/>
              <w:gridCol w:w="1334"/>
              <w:gridCol w:w="1176"/>
              <w:gridCol w:w="1751"/>
            </w:tblGrid>
            <w:tr w14:paraId="3CA20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tcMar>
                    <w:left w:w="57" w:type="dxa"/>
                    <w:right w:w="57" w:type="dxa"/>
                  </w:tcMar>
                  <w:vAlign w:val="center"/>
                </w:tcPr>
                <w:p w14:paraId="7E2A7FA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环境要素</w:t>
                  </w:r>
                </w:p>
              </w:tc>
              <w:tc>
                <w:tcPr>
                  <w:tcW w:w="1234" w:type="pct"/>
                  <w:tcMar>
                    <w:left w:w="28" w:type="dxa"/>
                    <w:right w:w="28" w:type="dxa"/>
                  </w:tcMar>
                  <w:vAlign w:val="center"/>
                </w:tcPr>
                <w:p w14:paraId="536E0D78">
                  <w:pPr>
                    <w:jc w:val="center"/>
                    <w:rPr>
                      <w:rFonts w:hint="default" w:ascii="Times New Roman" w:hAnsi="Times New Roman" w:eastAsia="宋体" w:cs="Times New Roman"/>
                      <w:color w:val="000000" w:themeColor="text1"/>
                      <w:spacing w:val="-14"/>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环境保护对象名称</w:t>
                  </w:r>
                </w:p>
              </w:tc>
              <w:tc>
                <w:tcPr>
                  <w:tcW w:w="768" w:type="pct"/>
                  <w:tcMar>
                    <w:left w:w="57" w:type="dxa"/>
                    <w:right w:w="57" w:type="dxa"/>
                  </w:tcMar>
                  <w:vAlign w:val="center"/>
                </w:tcPr>
                <w:p w14:paraId="4D3225F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方位</w:t>
                  </w:r>
                </w:p>
              </w:tc>
              <w:tc>
                <w:tcPr>
                  <w:tcW w:w="812" w:type="pct"/>
                  <w:tcMar>
                    <w:left w:w="57" w:type="dxa"/>
                    <w:right w:w="57" w:type="dxa"/>
                  </w:tcMar>
                  <w:vAlign w:val="center"/>
                </w:tcPr>
                <w:p w14:paraId="604DCF2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距离(km)</w:t>
                  </w:r>
                </w:p>
              </w:tc>
              <w:tc>
                <w:tcPr>
                  <w:tcW w:w="716" w:type="pct"/>
                  <w:tcMar>
                    <w:left w:w="57" w:type="dxa"/>
                    <w:right w:w="57" w:type="dxa"/>
                  </w:tcMar>
                  <w:vAlign w:val="center"/>
                </w:tcPr>
                <w:p w14:paraId="2A0ADD9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面积（平方公里）</w:t>
                  </w:r>
                </w:p>
              </w:tc>
              <w:tc>
                <w:tcPr>
                  <w:tcW w:w="1066" w:type="pct"/>
                  <w:tcMar>
                    <w:left w:w="57" w:type="dxa"/>
                    <w:right w:w="57" w:type="dxa"/>
                  </w:tcMar>
                  <w:vAlign w:val="center"/>
                </w:tcPr>
                <w:p w14:paraId="2C1A876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环境功能</w:t>
                  </w:r>
                </w:p>
              </w:tc>
            </w:tr>
            <w:tr w14:paraId="7A6F77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restart"/>
                  <w:vAlign w:val="center"/>
                </w:tcPr>
                <w:p w14:paraId="04CF96F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z w:val="18"/>
                      <w:szCs w:val="18"/>
                      <w:highlight w:val="none"/>
                      <w14:textFill>
                        <w14:solidFill>
                          <w14:schemeClr w14:val="tx1"/>
                        </w14:solidFill>
                      </w14:textFill>
                    </w:rPr>
                    <w:t>生态</w:t>
                  </w:r>
                </w:p>
              </w:tc>
              <w:tc>
                <w:tcPr>
                  <w:tcW w:w="2027" w:type="dxa"/>
                  <w:vAlign w:val="center"/>
                </w:tcPr>
                <w:p w14:paraId="082D31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草荡重要湿地</w:t>
                  </w:r>
                </w:p>
              </w:tc>
              <w:tc>
                <w:tcPr>
                  <w:tcW w:w="1262" w:type="dxa"/>
                  <w:vAlign w:val="center"/>
                </w:tcPr>
                <w:p w14:paraId="1371C1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t>西南</w:t>
                  </w:r>
                </w:p>
              </w:tc>
              <w:tc>
                <w:tcPr>
                  <w:tcW w:w="812" w:type="pct"/>
                  <w:vAlign w:val="center"/>
                </w:tcPr>
                <w:p w14:paraId="111F9E54">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pacing w:val="0"/>
                      <w:kern w:val="2"/>
                      <w:sz w:val="18"/>
                      <w:szCs w:val="18"/>
                      <w:highlight w:val="none"/>
                      <w:shd w:val="clear" w:color="auto" w:fill="auto"/>
                      <w:lang w:val="en-US" w:eastAsia="zh-CN" w:bidi="ar"/>
                      <w14:textFill>
                        <w14:solidFill>
                          <w14:schemeClr w14:val="tx1"/>
                        </w14:solidFill>
                      </w14:textFill>
                    </w:rPr>
                    <w:t>0.03</w:t>
                  </w:r>
                </w:p>
              </w:tc>
              <w:tc>
                <w:tcPr>
                  <w:tcW w:w="1176" w:type="dxa"/>
                  <w:vAlign w:val="center"/>
                </w:tcPr>
                <w:p w14:paraId="13E34C3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3"/>
                      <w:sz w:val="18"/>
                      <w:szCs w:val="18"/>
                      <w:highlight w:val="none"/>
                      <w14:textFill>
                        <w14:solidFill>
                          <w14:schemeClr w14:val="tx1"/>
                        </w14:solidFill>
                      </w14:textFill>
                    </w:rPr>
                    <w:t>2.14</w:t>
                  </w:r>
                </w:p>
              </w:tc>
              <w:tc>
                <w:tcPr>
                  <w:tcW w:w="1066" w:type="pct"/>
                  <w:vMerge w:val="restart"/>
                  <w:vAlign w:val="center"/>
                </w:tcPr>
                <w:p w14:paraId="391366C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《江苏省生态空间管控区域规划》</w:t>
                  </w:r>
                </w:p>
              </w:tc>
            </w:tr>
            <w:tr w14:paraId="3E0D3D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vAlign w:val="center"/>
                </w:tcPr>
                <w:p w14:paraId="1DA2BDC5">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027" w:type="dxa"/>
                  <w:vAlign w:val="center"/>
                </w:tcPr>
                <w:p w14:paraId="52F41F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bCs/>
                      <w:color w:val="000000" w:themeColor="text1"/>
                      <w:spacing w:val="0"/>
                      <w:sz w:val="18"/>
                      <w:szCs w:val="18"/>
                      <w:highlight w:val="none"/>
                      <w:shd w:val="clear" w:color="auto" w:fill="auto"/>
                      <w14:textFill>
                        <w14:solidFill>
                          <w14:schemeClr w14:val="tx1"/>
                        </w14:solidFill>
                      </w14:textFill>
                    </w:rPr>
                    <w:t>莺脰湖重要湿地</w:t>
                  </w:r>
                </w:p>
              </w:tc>
              <w:tc>
                <w:tcPr>
                  <w:tcW w:w="1262" w:type="dxa"/>
                  <w:vAlign w:val="center"/>
                </w:tcPr>
                <w:p w14:paraId="676F8C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东南</w:t>
                  </w:r>
                </w:p>
              </w:tc>
              <w:tc>
                <w:tcPr>
                  <w:tcW w:w="812" w:type="pct"/>
                  <w:vAlign w:val="center"/>
                </w:tcPr>
                <w:p w14:paraId="0D2061FA">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0.54</w:t>
                  </w:r>
                </w:p>
              </w:tc>
              <w:tc>
                <w:tcPr>
                  <w:tcW w:w="1176" w:type="dxa"/>
                  <w:vAlign w:val="center"/>
                </w:tcPr>
                <w:p w14:paraId="6A1F9DD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2.11</w:t>
                  </w:r>
                </w:p>
              </w:tc>
              <w:tc>
                <w:tcPr>
                  <w:tcW w:w="1066" w:type="pct"/>
                  <w:vMerge w:val="continue"/>
                  <w:vAlign w:val="center"/>
                </w:tcPr>
                <w:p w14:paraId="42A8FDF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786D74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vAlign w:val="center"/>
                </w:tcPr>
                <w:p w14:paraId="1CA557C9">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027" w:type="dxa"/>
                  <w:vAlign w:val="center"/>
                </w:tcPr>
                <w:p w14:paraId="3C43C3A5">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大龙荡重要湿地</w:t>
                  </w:r>
                </w:p>
              </w:tc>
              <w:tc>
                <w:tcPr>
                  <w:tcW w:w="1262" w:type="dxa"/>
                  <w:vAlign w:val="center"/>
                </w:tcPr>
                <w:p w14:paraId="7A70DB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西北</w:t>
                  </w:r>
                </w:p>
              </w:tc>
              <w:tc>
                <w:tcPr>
                  <w:tcW w:w="812" w:type="pct"/>
                  <w:vAlign w:val="center"/>
                </w:tcPr>
                <w:p w14:paraId="5CDCE5F1">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1.63</w:t>
                  </w:r>
                </w:p>
              </w:tc>
              <w:tc>
                <w:tcPr>
                  <w:tcW w:w="1176" w:type="dxa"/>
                  <w:vAlign w:val="center"/>
                </w:tcPr>
                <w:p w14:paraId="7E0895B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lang w:val="en-US" w:eastAsia="zh-CN"/>
                      <w14:textFill>
                        <w14:solidFill>
                          <w14:schemeClr w14:val="tx1"/>
                        </w14:solidFill>
                      </w14:textFill>
                    </w:rPr>
                    <w:t>2.00</w:t>
                  </w:r>
                </w:p>
              </w:tc>
              <w:tc>
                <w:tcPr>
                  <w:tcW w:w="1066" w:type="pct"/>
                  <w:vMerge w:val="continue"/>
                  <w:vAlign w:val="center"/>
                </w:tcPr>
                <w:p w14:paraId="5B218B2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5C0CA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vAlign w:val="center"/>
                </w:tcPr>
                <w:p w14:paraId="258B09E8">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027" w:type="dxa"/>
                  <w:vAlign w:val="center"/>
                </w:tcPr>
                <w:p w14:paraId="467629BF">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7"/>
                      <w:sz w:val="18"/>
                      <w:szCs w:val="18"/>
                      <w:highlight w:val="none"/>
                      <w14:textFill>
                        <w14:solidFill>
                          <w14:schemeClr w14:val="tx1"/>
                        </w14:solidFill>
                      </w14:textFill>
                    </w:rPr>
                    <w:t>太浦河清</w:t>
                  </w:r>
                  <w:r>
                    <w:rPr>
                      <w:rFonts w:hint="default" w:ascii="Times New Roman" w:hAnsi="Times New Roman" w:eastAsia="宋体" w:cs="Times New Roman"/>
                      <w:color w:val="000000" w:themeColor="text1"/>
                      <w:spacing w:val="6"/>
                      <w:sz w:val="18"/>
                      <w:szCs w:val="18"/>
                      <w:highlight w:val="none"/>
                      <w14:textFill>
                        <w14:solidFill>
                          <w14:schemeClr w14:val="tx1"/>
                        </w14:solidFill>
                      </w14:textFill>
                    </w:rPr>
                    <w:t>水通道维</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护区</w:t>
                  </w:r>
                </w:p>
              </w:tc>
              <w:tc>
                <w:tcPr>
                  <w:tcW w:w="1262" w:type="dxa"/>
                  <w:vAlign w:val="center"/>
                </w:tcPr>
                <w:p w14:paraId="6398F2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北</w:t>
                  </w:r>
                </w:p>
              </w:tc>
              <w:tc>
                <w:tcPr>
                  <w:tcW w:w="812" w:type="pct"/>
                  <w:vAlign w:val="center"/>
                </w:tcPr>
                <w:p w14:paraId="18179532">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2.2</w:t>
                  </w:r>
                </w:p>
              </w:tc>
              <w:tc>
                <w:tcPr>
                  <w:tcW w:w="1176" w:type="dxa"/>
                  <w:vAlign w:val="center"/>
                </w:tcPr>
                <w:p w14:paraId="7DBA7E4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10.49</w:t>
                  </w:r>
                </w:p>
              </w:tc>
              <w:tc>
                <w:tcPr>
                  <w:tcW w:w="1066" w:type="pct"/>
                  <w:vMerge w:val="continue"/>
                  <w:vAlign w:val="center"/>
                </w:tcPr>
                <w:p w14:paraId="58E5D61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3F2C94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vAlign w:val="center"/>
                </w:tcPr>
                <w:p w14:paraId="4876ECF4">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027" w:type="dxa"/>
                  <w:vAlign w:val="center"/>
                </w:tcPr>
                <w:p w14:paraId="1116F54D">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5"/>
                      <w:sz w:val="18"/>
                      <w:szCs w:val="18"/>
                      <w:highlight w:val="none"/>
                      <w14:textFill>
                        <w14:solidFill>
                          <w14:schemeClr w14:val="tx1"/>
                        </w14:solidFill>
                      </w14:textFill>
                    </w:rPr>
                    <w:t>太湖（吴江</w:t>
                  </w:r>
                  <w:r>
                    <w:rPr>
                      <w:rFonts w:hint="default" w:ascii="Times New Roman" w:hAnsi="Times New Roman" w:eastAsia="宋体" w:cs="Times New Roman"/>
                      <w:color w:val="000000" w:themeColor="text1"/>
                      <w:spacing w:val="2"/>
                      <w:sz w:val="18"/>
                      <w:szCs w:val="18"/>
                      <w:highlight w:val="none"/>
                      <w14:textFill>
                        <w14:solidFill>
                          <w14:schemeClr w14:val="tx1"/>
                        </w14:solidFill>
                      </w14:textFill>
                    </w:rPr>
                    <w:t>区）重要保</w:t>
                  </w:r>
                  <w:r>
                    <w:rPr>
                      <w:rFonts w:hint="default" w:ascii="Times New Roman" w:hAnsi="Times New Roman" w:eastAsia="宋体" w:cs="Times New Roman"/>
                      <w:color w:val="000000" w:themeColor="text1"/>
                      <w:spacing w:val="4"/>
                      <w:sz w:val="18"/>
                      <w:szCs w:val="18"/>
                      <w:highlight w:val="none"/>
                      <w14:textFill>
                        <w14:solidFill>
                          <w14:schemeClr w14:val="tx1"/>
                        </w14:solidFill>
                      </w14:textFill>
                    </w:rPr>
                    <w:t>护区</w:t>
                  </w:r>
                </w:p>
              </w:tc>
              <w:tc>
                <w:tcPr>
                  <w:tcW w:w="1262" w:type="dxa"/>
                  <w:vAlign w:val="center"/>
                </w:tcPr>
                <w:p w14:paraId="328FEC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西南</w:t>
                  </w:r>
                </w:p>
              </w:tc>
              <w:tc>
                <w:tcPr>
                  <w:tcW w:w="812" w:type="pct"/>
                  <w:vAlign w:val="center"/>
                </w:tcPr>
                <w:p w14:paraId="349F7DC2">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2.95</w:t>
                  </w:r>
                </w:p>
              </w:tc>
              <w:tc>
                <w:tcPr>
                  <w:tcW w:w="1176" w:type="dxa"/>
                  <w:vAlign w:val="center"/>
                </w:tcPr>
                <w:p w14:paraId="2DEC5CA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1"/>
                      <w:sz w:val="18"/>
                      <w:szCs w:val="18"/>
                      <w:highlight w:val="none"/>
                      <w14:textFill>
                        <w14:solidFill>
                          <w14:schemeClr w14:val="tx1"/>
                        </w14:solidFill>
                      </w14:textFill>
                    </w:rPr>
                    <w:t>180.8</w:t>
                  </w:r>
                </w:p>
              </w:tc>
              <w:tc>
                <w:tcPr>
                  <w:tcW w:w="1066" w:type="pct"/>
                  <w:vMerge w:val="continue"/>
                  <w:vAlign w:val="center"/>
                </w:tcPr>
                <w:p w14:paraId="2DAA31B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1E217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vAlign w:val="center"/>
                </w:tcPr>
                <w:p w14:paraId="022F2BBC">
                  <w:pPr>
                    <w:jc w:val="center"/>
                    <w:rPr>
                      <w:rFonts w:hint="default" w:ascii="Times New Roman" w:hAnsi="Times New Roman" w:eastAsia="宋体" w:cs="Times New Roman"/>
                      <w:bCs/>
                      <w:color w:val="000000" w:themeColor="text1"/>
                      <w:sz w:val="18"/>
                      <w:szCs w:val="18"/>
                      <w:highlight w:val="none"/>
                      <w14:textFill>
                        <w14:solidFill>
                          <w14:schemeClr w14:val="tx1"/>
                        </w14:solidFill>
                      </w14:textFill>
                    </w:rPr>
                  </w:pPr>
                </w:p>
              </w:tc>
              <w:tc>
                <w:tcPr>
                  <w:tcW w:w="2027" w:type="dxa"/>
                  <w:vAlign w:val="center"/>
                </w:tcPr>
                <w:p w14:paraId="5DF9C85D">
                  <w:pPr>
                    <w:pStyle w:val="225"/>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5"/>
                      <w:sz w:val="18"/>
                      <w:szCs w:val="18"/>
                      <w:highlight w:val="none"/>
                      <w14:textFill>
                        <w14:solidFill>
                          <w14:schemeClr w14:val="tx1"/>
                        </w14:solidFill>
                      </w14:textFill>
                    </w:rPr>
                    <w:t>太湖重要湿地（吴江区）</w:t>
                  </w:r>
                </w:p>
              </w:tc>
              <w:tc>
                <w:tcPr>
                  <w:tcW w:w="1262" w:type="dxa"/>
                  <w:vAlign w:val="center"/>
                </w:tcPr>
                <w:p w14:paraId="397499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西北</w:t>
                  </w:r>
                </w:p>
              </w:tc>
              <w:tc>
                <w:tcPr>
                  <w:tcW w:w="812" w:type="pct"/>
                  <w:vAlign w:val="center"/>
                </w:tcPr>
                <w:p w14:paraId="56F78944">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0"/>
                      <w:sz w:val="18"/>
                      <w:szCs w:val="18"/>
                      <w:highlight w:val="none"/>
                      <w:shd w:val="clear" w:color="auto" w:fill="auto"/>
                      <w:lang w:val="en-US" w:eastAsia="zh-CN" w:bidi="ar"/>
                      <w14:textFill>
                        <w14:solidFill>
                          <w14:schemeClr w14:val="tx1"/>
                        </w14:solidFill>
                      </w14:textFill>
                    </w:rPr>
                    <w:t>11.9</w:t>
                  </w:r>
                </w:p>
              </w:tc>
              <w:tc>
                <w:tcPr>
                  <w:tcW w:w="1176" w:type="dxa"/>
                  <w:vAlign w:val="center"/>
                </w:tcPr>
                <w:p w14:paraId="4E46CCF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bidi="ar"/>
                      <w14:textFill>
                        <w14:solidFill>
                          <w14:schemeClr w14:val="tx1"/>
                        </w14:solidFill>
                      </w14:textFill>
                    </w:rPr>
                    <w:t>72.43</w:t>
                  </w:r>
                </w:p>
              </w:tc>
              <w:tc>
                <w:tcPr>
                  <w:tcW w:w="1066" w:type="pct"/>
                  <w:vMerge w:val="continue"/>
                  <w:vAlign w:val="center"/>
                </w:tcPr>
                <w:p w14:paraId="3F22C2E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bl>
          <w:p w14:paraId="3A365F45">
            <w:pPr>
              <w:adjustRightInd w:val="0"/>
              <w:snapToGrid w:val="0"/>
              <w:spacing w:line="460" w:lineRule="exact"/>
              <w:jc w:val="left"/>
              <w:rPr>
                <w:rFonts w:hint="default" w:ascii="Times New Roman" w:hAnsi="Times New Roman" w:eastAsia="宋体" w:cs="Times New Roman"/>
                <w:color w:val="000000" w:themeColor="text1"/>
                <w:szCs w:val="21"/>
                <w:highlight w:val="none"/>
                <w14:textFill>
                  <w14:solidFill>
                    <w14:schemeClr w14:val="tx1"/>
                  </w14:solidFill>
                </w14:textFill>
              </w:rPr>
            </w:pPr>
          </w:p>
        </w:tc>
      </w:tr>
      <w:tr w14:paraId="61561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40" w:type="dxa"/>
            <w:tcMar>
              <w:left w:w="28" w:type="dxa"/>
              <w:right w:w="28" w:type="dxa"/>
            </w:tcMar>
            <w:vAlign w:val="center"/>
          </w:tcPr>
          <w:p w14:paraId="3E6160C3">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污染物排放控制标准</w:t>
            </w:r>
          </w:p>
        </w:tc>
        <w:tc>
          <w:tcPr>
            <w:tcW w:w="8350" w:type="dxa"/>
            <w:vAlign w:val="center"/>
          </w:tcPr>
          <w:p w14:paraId="42E5B6CE">
            <w:pPr>
              <w:adjustRightInd w:val="0"/>
              <w:snapToGrid w:val="0"/>
              <w:spacing w:line="44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1、废水排放标准</w:t>
            </w:r>
          </w:p>
          <w:p w14:paraId="17E7FE3C">
            <w:pPr>
              <w:adjustRightInd w:val="0"/>
              <w:snapToGrid w:val="0"/>
              <w:spacing w:line="44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本项目生产废水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酸碱废水</w:t>
            </w:r>
            <w:r>
              <w:rPr>
                <w:rFonts w:hint="eastAsia" w:cs="Times New Roman"/>
                <w:color w:val="000000" w:themeColor="text1"/>
                <w:sz w:val="21"/>
                <w:szCs w:val="21"/>
                <w:highlight w:val="none"/>
                <w:lang w:val="en-US" w:eastAsia="zh-CN"/>
                <w14:textFill>
                  <w14:solidFill>
                    <w14:schemeClr w14:val="tx1"/>
                  </w14:solidFill>
                </w14:textFill>
              </w:rPr>
              <w:t>、反渗透浓水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及现有冷却塔废水</w:t>
            </w:r>
            <w:r>
              <w:rPr>
                <w:rFonts w:hint="default" w:ascii="Times New Roman" w:hAnsi="Times New Roman" w:eastAsia="宋体" w:cs="Times New Roman"/>
                <w:color w:val="000000" w:themeColor="text1"/>
                <w:sz w:val="21"/>
                <w:szCs w:val="21"/>
                <w:highlight w:val="none"/>
                <w14:textFill>
                  <w14:solidFill>
                    <w14:schemeClr w14:val="tx1"/>
                  </w14:solidFill>
                </w14:textFill>
              </w:rPr>
              <w:t>接管至吴江市平望镇污水处理厂，废水接管执行《污水综合排放标准》（GB8978-1996）中表4三级标准；吴江市平望镇污水处理厂排放标准参照排污许可证许可排放浓度限值。</w:t>
            </w:r>
          </w:p>
          <w:p w14:paraId="1A9A5F64">
            <w:pPr>
              <w:adjustRightInd w:val="0"/>
              <w:snapToGrid w:val="0"/>
              <w:spacing w:line="440" w:lineRule="exact"/>
              <w:ind w:firstLine="420" w:firstLineChars="200"/>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厂区</w:t>
            </w:r>
            <w:r>
              <w:rPr>
                <w:rFonts w:hint="default" w:ascii="Times New Roman" w:hAnsi="Times New Roman" w:eastAsia="宋体" w:cs="Times New Roman"/>
                <w:color w:val="000000" w:themeColor="text1"/>
                <w:sz w:val="21"/>
                <w:szCs w:val="21"/>
                <w:highlight w:val="none"/>
                <w14:textFill>
                  <w14:solidFill>
                    <w14:schemeClr w14:val="tx1"/>
                  </w14:solidFill>
                </w14:textFill>
              </w:rPr>
              <w:t>生活污水</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经市政管网排入</w:t>
            </w:r>
            <w:r>
              <w:rPr>
                <w:rFonts w:hint="default" w:ascii="Times New Roman" w:hAnsi="Times New Roman" w:eastAsia="宋体" w:cs="Times New Roman"/>
                <w:color w:val="000000" w:themeColor="text1"/>
                <w:sz w:val="21"/>
                <w:szCs w:val="21"/>
                <w:highlight w:val="none"/>
                <w14:textFill>
                  <w14:solidFill>
                    <w14:schemeClr w14:val="tx1"/>
                  </w14:solidFill>
                </w14:textFill>
              </w:rPr>
              <w:t>苏州市吴江平望生活污水处理有限公司处理。废水接管执行《污水综合排放标准》（GB8978-1996）中表 4 三级标准和 《污水排入城镇下水道水质标准》（GB/T31962-2015）表 1B 的接管标准；苏州市吴江平望生活污水处理有限公司尾水排放（COD、氨氮、总磷、总氮） 执行《太湖地区城镇污水处理厂及重点工业行业主要水污染物排放限值》 (DB32/1072-2018）表 2 标准，根据苏州市市委、市政府 2018 年 9 月下达的 《关于高质量推进城乡生活污水治理三年行动计划的实施意见的通知》（苏委办发〔2018〕77 号）、《关于抓紧开展污水厂尾水提标改造的通知》（吴水务〔2018〕15 号），待污水处理厂尾水排放标准提标后，污水处理厂尾水 执行“苏州特别排放限值”。“苏州特别排放限值”严于《太湖地区城镇污水厂及重点工业行业主要水污染物排放限值》（DB32/1072-2018）标准，因此污水处理厂排放尾水水质 COD、氨氮、总氮、总磷从严执行“苏州特别排放限值”，pH、SS执行《城镇污水处理厂污染物排放限值》(GB18918-2002）表 1 一级 A 标准</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p>
          <w:p w14:paraId="58825CAB">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022F32EC">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AFCD7CC">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B3084E8">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A4C7270">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7C89641">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684C3E30">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B5C15A2">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6810BCC8">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004707D">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06D909C">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7622202">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D3E8B89">
            <w:pPr>
              <w:spacing w:line="480" w:lineRule="exact"/>
              <w:jc w:val="center"/>
              <w:outlineLvl w:val="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表3-</w:t>
            </w:r>
            <w:r>
              <w:rPr>
                <w:rFonts w:hint="eastAsia" w:cs="Times New Roman"/>
                <w:color w:val="000000" w:themeColor="text1"/>
                <w:sz w:val="2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污水处理厂</w:t>
            </w:r>
            <w:r>
              <w:rPr>
                <w:rFonts w:hint="eastAsia" w:cs="Times New Roman"/>
                <w:color w:val="000000" w:themeColor="text1"/>
                <w:sz w:val="21"/>
                <w:szCs w:val="21"/>
                <w:highlight w:val="none"/>
                <w:lang w:val="en-US" w:eastAsia="zh-CN"/>
                <w14:textFill>
                  <w14:solidFill>
                    <w14:schemeClr w14:val="tx1"/>
                  </w14:solidFill>
                </w14:textFill>
              </w:rPr>
              <w:t>接管及</w:t>
            </w:r>
            <w:r>
              <w:rPr>
                <w:rFonts w:hint="default" w:ascii="Times New Roman" w:hAnsi="Times New Roman" w:eastAsia="宋体" w:cs="Times New Roman"/>
                <w:color w:val="000000" w:themeColor="text1"/>
                <w:sz w:val="21"/>
                <w:szCs w:val="21"/>
                <w:highlight w:val="none"/>
                <w14:textFill>
                  <w14:solidFill>
                    <w14:schemeClr w14:val="tx1"/>
                  </w14:solidFill>
                </w14:textFill>
              </w:rPr>
              <w:t>排放标准限值表</w:t>
            </w:r>
          </w:p>
          <w:p w14:paraId="47AACAA2">
            <w:pPr>
              <w:pStyle w:val="2"/>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drawing>
                <wp:inline distT="0" distB="0" distL="114300" distR="114300">
                  <wp:extent cx="4875530" cy="4218305"/>
                  <wp:effectExtent l="0" t="0" r="0" b="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8"/>
                          <a:srcRect t="747"/>
                          <a:stretch>
                            <a:fillRect/>
                          </a:stretch>
                        </pic:blipFill>
                        <pic:spPr>
                          <a:xfrm>
                            <a:off x="0" y="0"/>
                            <a:ext cx="4875530" cy="4218305"/>
                          </a:xfrm>
                          <a:prstGeom prst="rect">
                            <a:avLst/>
                          </a:prstGeom>
                          <a:noFill/>
                          <a:ln>
                            <a:noFill/>
                          </a:ln>
                        </pic:spPr>
                      </pic:pic>
                    </a:graphicData>
                  </a:graphic>
                </wp:inline>
              </w:drawing>
            </w:r>
          </w:p>
          <w:p w14:paraId="205FE13B">
            <w:pPr>
              <w:adjustRightInd w:val="0"/>
              <w:snapToGrid w:val="0"/>
              <w:spacing w:line="40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bookmarkStart w:id="4" w:name="OLE_LINK1"/>
            <w:r>
              <w:rPr>
                <w:rFonts w:hint="default" w:ascii="Times New Roman" w:hAnsi="Times New Roman" w:eastAsia="宋体" w:cs="Times New Roman"/>
                <w:b/>
                <w:bCs/>
                <w:color w:val="000000" w:themeColor="text1"/>
                <w:szCs w:val="21"/>
                <w:highlight w:val="none"/>
                <w14:textFill>
                  <w14:solidFill>
                    <w14:schemeClr w14:val="tx1"/>
                  </w14:solidFill>
                </w14:textFill>
              </w:rPr>
              <w:t>2、废气排放标准</w:t>
            </w:r>
          </w:p>
          <w:p w14:paraId="0CF85275">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本期项目产生的废气主要为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100t/h燃气</w:t>
            </w:r>
            <w:r>
              <w:rPr>
                <w:rFonts w:hint="default" w:ascii="Times New Roman" w:hAnsi="Times New Roman" w:eastAsia="宋体" w:cs="Times New Roman"/>
                <w:color w:val="000000" w:themeColor="text1"/>
                <w:szCs w:val="21"/>
                <w:highlight w:val="none"/>
                <w14:textFill>
                  <w14:solidFill>
                    <w14:schemeClr w14:val="tx1"/>
                  </w14:solidFill>
                </w14:textFill>
              </w:rPr>
              <w:t>锅炉燃烧天然气产生的废气，</w:t>
            </w:r>
            <w:r>
              <w:rPr>
                <w:rFonts w:hint="default" w:ascii="Times New Roman" w:hAnsi="Times New Roman" w:eastAsia="宋体" w:cs="Times New Roman"/>
                <w:color w:val="000000" w:themeColor="text1"/>
                <w:highlight w:val="none"/>
                <w14:textFill>
                  <w14:solidFill>
                    <w14:schemeClr w14:val="tx1"/>
                  </w14:solidFill>
                </w14:textFill>
              </w:rPr>
              <w:t>执行《锅炉大气污染物排放标准》（DB32/4385-2022）中表1标准。具体标准值见表3-</w:t>
            </w:r>
            <w:r>
              <w:rPr>
                <w:rFonts w:hint="eastAsia" w:cs="Times New Roman"/>
                <w:color w:val="000000" w:themeColor="text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highlight w:val="none"/>
                <w14:textFill>
                  <w14:solidFill>
                    <w14:schemeClr w14:val="tx1"/>
                  </w14:solidFill>
                </w14:textFill>
              </w:rPr>
              <w:t>。</w:t>
            </w:r>
          </w:p>
          <w:p w14:paraId="211AFBBD">
            <w:pPr>
              <w:adjustRightInd w:val="0"/>
              <w:snapToGrid w:val="0"/>
              <w:spacing w:line="4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表3-</w:t>
            </w:r>
            <w:r>
              <w:rPr>
                <w:rFonts w:hint="eastAsia" w:cs="Times New Roman"/>
                <w:color w:val="000000" w:themeColor="text1"/>
                <w:sz w:val="21"/>
                <w:szCs w:val="2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大气污染物排放标准</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2643"/>
              <w:gridCol w:w="3099"/>
              <w:gridCol w:w="1253"/>
            </w:tblGrid>
            <w:tr w14:paraId="533231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9" w:type="pct"/>
                  <w:tcBorders>
                    <w:top w:val="single" w:color="auto" w:sz="12" w:space="0"/>
                    <w:left w:val="single" w:color="auto" w:sz="12" w:space="0"/>
                    <w:bottom w:val="single" w:color="auto" w:sz="4" w:space="0"/>
                    <w:right w:val="single" w:color="auto" w:sz="4" w:space="0"/>
                  </w:tcBorders>
                  <w:vAlign w:val="center"/>
                </w:tcPr>
                <w:p w14:paraId="2C4C404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排放源</w:t>
                  </w:r>
                </w:p>
              </w:tc>
              <w:tc>
                <w:tcPr>
                  <w:tcW w:w="1610" w:type="pct"/>
                  <w:tcBorders>
                    <w:top w:val="single" w:color="auto" w:sz="12" w:space="0"/>
                    <w:left w:val="single" w:color="auto" w:sz="4" w:space="0"/>
                    <w:bottom w:val="single" w:color="auto" w:sz="4" w:space="0"/>
                    <w:right w:val="single" w:color="auto" w:sz="4" w:space="0"/>
                  </w:tcBorders>
                  <w:vAlign w:val="center"/>
                </w:tcPr>
                <w:p w14:paraId="131F849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w:t>
                  </w:r>
                </w:p>
              </w:tc>
              <w:tc>
                <w:tcPr>
                  <w:tcW w:w="1888" w:type="pct"/>
                  <w:tcBorders>
                    <w:top w:val="single" w:color="auto" w:sz="12" w:space="0"/>
                    <w:left w:val="single" w:color="auto" w:sz="4" w:space="0"/>
                    <w:bottom w:val="single" w:color="auto" w:sz="4" w:space="0"/>
                    <w:right w:val="single" w:color="auto" w:sz="4" w:space="0"/>
                  </w:tcBorders>
                  <w:vAlign w:val="center"/>
                </w:tcPr>
                <w:p w14:paraId="06A7B91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执行/参考标准</w:t>
                  </w:r>
                </w:p>
              </w:tc>
              <w:tc>
                <w:tcPr>
                  <w:tcW w:w="763" w:type="pct"/>
                  <w:tcBorders>
                    <w:top w:val="single" w:color="auto" w:sz="12" w:space="0"/>
                    <w:left w:val="single" w:color="auto" w:sz="4" w:space="0"/>
                    <w:bottom w:val="single" w:color="auto" w:sz="4" w:space="0"/>
                    <w:right w:val="single" w:color="auto" w:sz="12" w:space="0"/>
                  </w:tcBorders>
                  <w:vAlign w:val="center"/>
                </w:tcPr>
                <w:p w14:paraId="10FF801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排放限值</w:t>
                  </w:r>
                </w:p>
                <w:p w14:paraId="5DEFB68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08A4C2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9" w:hRule="atLeast"/>
                <w:jc w:val="center"/>
              </w:trPr>
              <w:tc>
                <w:tcPr>
                  <w:tcW w:w="739" w:type="pct"/>
                  <w:vMerge w:val="restart"/>
                  <w:tcBorders>
                    <w:top w:val="double" w:color="auto" w:sz="2" w:space="0"/>
                    <w:left w:val="single" w:color="auto" w:sz="12" w:space="0"/>
                    <w:bottom w:val="single" w:color="auto" w:sz="4" w:space="0"/>
                    <w:right w:val="single" w:color="auto" w:sz="4" w:space="0"/>
                  </w:tcBorders>
                  <w:vAlign w:val="center"/>
                </w:tcPr>
                <w:p w14:paraId="040D21D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p>
              </w:tc>
              <w:tc>
                <w:tcPr>
                  <w:tcW w:w="1610" w:type="pct"/>
                  <w:tcBorders>
                    <w:top w:val="double" w:color="auto" w:sz="2" w:space="0"/>
                    <w:left w:val="single" w:color="auto" w:sz="4" w:space="0"/>
                    <w:bottom w:val="single" w:color="auto" w:sz="4" w:space="0"/>
                    <w:right w:val="single" w:color="auto" w:sz="4" w:space="0"/>
                  </w:tcBorders>
                  <w:vAlign w:val="center"/>
                </w:tcPr>
                <w:p w14:paraId="662649E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1888" w:type="pct"/>
                  <w:vMerge w:val="restart"/>
                  <w:tcBorders>
                    <w:top w:val="double" w:color="auto" w:sz="2" w:space="0"/>
                    <w:left w:val="single" w:color="auto" w:sz="4" w:space="0"/>
                    <w:bottom w:val="single" w:color="auto" w:sz="4" w:space="0"/>
                    <w:right w:val="single" w:color="auto" w:sz="4" w:space="0"/>
                  </w:tcBorders>
                  <w:vAlign w:val="center"/>
                </w:tcPr>
                <w:p w14:paraId="59F83AD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《锅炉大气污染物排放标准》（DB32/4385-2022）表1</w:t>
                  </w:r>
                </w:p>
              </w:tc>
              <w:tc>
                <w:tcPr>
                  <w:tcW w:w="763" w:type="pct"/>
                  <w:tcBorders>
                    <w:top w:val="double" w:color="auto" w:sz="2" w:space="0"/>
                    <w:left w:val="single" w:color="auto" w:sz="4" w:space="0"/>
                    <w:bottom w:val="single" w:color="auto" w:sz="4" w:space="0"/>
                    <w:right w:val="single" w:color="auto" w:sz="12" w:space="0"/>
                  </w:tcBorders>
                  <w:vAlign w:val="center"/>
                </w:tcPr>
                <w:p w14:paraId="795DA2D8">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10</w:t>
                  </w:r>
                </w:p>
              </w:tc>
            </w:tr>
            <w:tr w14:paraId="13AF2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double" w:color="auto" w:sz="2" w:space="0"/>
                    <w:left w:val="single" w:color="auto" w:sz="12" w:space="0"/>
                    <w:bottom w:val="single" w:color="auto" w:sz="4" w:space="0"/>
                    <w:right w:val="single" w:color="auto" w:sz="4" w:space="0"/>
                  </w:tcBorders>
                  <w:vAlign w:val="center"/>
                </w:tcPr>
                <w:p w14:paraId="49045659">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10" w:type="pct"/>
                  <w:tcBorders>
                    <w:top w:val="single" w:color="auto" w:sz="4" w:space="0"/>
                    <w:left w:val="single" w:color="auto" w:sz="4" w:space="0"/>
                    <w:bottom w:val="single" w:color="auto" w:sz="4" w:space="0"/>
                    <w:right w:val="single" w:color="auto" w:sz="4" w:space="0"/>
                  </w:tcBorders>
                  <w:vAlign w:val="center"/>
                </w:tcPr>
                <w:p w14:paraId="7E2CE71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0" w:type="auto"/>
                  <w:vMerge w:val="continue"/>
                  <w:tcBorders>
                    <w:top w:val="double" w:color="auto" w:sz="2" w:space="0"/>
                    <w:left w:val="single" w:color="auto" w:sz="4" w:space="0"/>
                    <w:bottom w:val="single" w:color="auto" w:sz="4" w:space="0"/>
                    <w:right w:val="single" w:color="auto" w:sz="4" w:space="0"/>
                  </w:tcBorders>
                  <w:vAlign w:val="center"/>
                </w:tcPr>
                <w:p w14:paraId="5EEEFAE3">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63" w:type="pct"/>
                  <w:tcBorders>
                    <w:top w:val="single" w:color="auto" w:sz="4" w:space="0"/>
                    <w:left w:val="single" w:color="auto" w:sz="4" w:space="0"/>
                    <w:bottom w:val="single" w:color="auto" w:sz="4" w:space="0"/>
                    <w:right w:val="single" w:color="auto" w:sz="12" w:space="0"/>
                  </w:tcBorders>
                  <w:vAlign w:val="center"/>
                </w:tcPr>
                <w:p w14:paraId="6B5AEA9C">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35</w:t>
                  </w:r>
                </w:p>
              </w:tc>
            </w:tr>
            <w:tr w14:paraId="136027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double" w:color="auto" w:sz="2" w:space="0"/>
                    <w:left w:val="single" w:color="auto" w:sz="12" w:space="0"/>
                    <w:bottom w:val="single" w:color="auto" w:sz="4" w:space="0"/>
                    <w:right w:val="single" w:color="auto" w:sz="4" w:space="0"/>
                  </w:tcBorders>
                  <w:vAlign w:val="center"/>
                </w:tcPr>
                <w:p w14:paraId="724B36B1">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10" w:type="pct"/>
                  <w:tcBorders>
                    <w:top w:val="single" w:color="auto" w:sz="4" w:space="0"/>
                    <w:left w:val="single" w:color="auto" w:sz="4" w:space="0"/>
                    <w:bottom w:val="single" w:color="auto" w:sz="4" w:space="0"/>
                    <w:right w:val="single" w:color="auto" w:sz="4" w:space="0"/>
                  </w:tcBorders>
                  <w:vAlign w:val="center"/>
                </w:tcPr>
                <w:p w14:paraId="1839547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0" w:type="auto"/>
                  <w:vMerge w:val="continue"/>
                  <w:tcBorders>
                    <w:top w:val="double" w:color="auto" w:sz="2" w:space="0"/>
                    <w:left w:val="single" w:color="auto" w:sz="4" w:space="0"/>
                    <w:bottom w:val="single" w:color="auto" w:sz="4" w:space="0"/>
                    <w:right w:val="single" w:color="auto" w:sz="4" w:space="0"/>
                  </w:tcBorders>
                  <w:vAlign w:val="center"/>
                </w:tcPr>
                <w:p w14:paraId="1B845D25">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63" w:type="pct"/>
                  <w:tcBorders>
                    <w:top w:val="single" w:color="auto" w:sz="4" w:space="0"/>
                    <w:left w:val="single" w:color="auto" w:sz="4" w:space="0"/>
                    <w:bottom w:val="single" w:color="auto" w:sz="4" w:space="0"/>
                    <w:right w:val="single" w:color="auto" w:sz="12" w:space="0"/>
                  </w:tcBorders>
                  <w:vAlign w:val="center"/>
                </w:tcPr>
                <w:p w14:paraId="5D1FC922">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50</w:t>
                  </w:r>
                </w:p>
              </w:tc>
            </w:tr>
            <w:tr w14:paraId="68321C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tcBorders>
                    <w:top w:val="double" w:color="auto" w:sz="2" w:space="0"/>
                    <w:left w:val="single" w:color="auto" w:sz="12" w:space="0"/>
                    <w:bottom w:val="single" w:color="auto" w:sz="4" w:space="0"/>
                    <w:right w:val="single" w:color="auto" w:sz="4" w:space="0"/>
                  </w:tcBorders>
                  <w:vAlign w:val="center"/>
                </w:tcPr>
                <w:p w14:paraId="246BAB7F">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10" w:type="pct"/>
                  <w:tcBorders>
                    <w:top w:val="single" w:color="auto" w:sz="4" w:space="0"/>
                    <w:left w:val="single" w:color="auto" w:sz="4" w:space="0"/>
                    <w:bottom w:val="single" w:color="auto" w:sz="4" w:space="0"/>
                    <w:right w:val="single" w:color="auto" w:sz="4" w:space="0"/>
                  </w:tcBorders>
                  <w:vAlign w:val="center"/>
                </w:tcPr>
                <w:p w14:paraId="0DDD0B1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烟气黑度（林格曼黑度）</w:t>
                  </w:r>
                </w:p>
              </w:tc>
              <w:tc>
                <w:tcPr>
                  <w:tcW w:w="0" w:type="auto"/>
                  <w:vMerge w:val="continue"/>
                  <w:tcBorders>
                    <w:top w:val="double" w:color="auto" w:sz="2" w:space="0"/>
                    <w:left w:val="single" w:color="auto" w:sz="4" w:space="0"/>
                    <w:bottom w:val="single" w:color="auto" w:sz="4" w:space="0"/>
                    <w:right w:val="single" w:color="auto" w:sz="4" w:space="0"/>
                  </w:tcBorders>
                  <w:vAlign w:val="center"/>
                </w:tcPr>
                <w:p w14:paraId="20B3D522">
                  <w:pPr>
                    <w:widowControl/>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63" w:type="pct"/>
                  <w:tcBorders>
                    <w:top w:val="single" w:color="auto" w:sz="4" w:space="0"/>
                    <w:left w:val="single" w:color="auto" w:sz="4" w:space="0"/>
                    <w:bottom w:val="single" w:color="auto" w:sz="4" w:space="0"/>
                    <w:right w:val="single" w:color="auto" w:sz="12" w:space="0"/>
                  </w:tcBorders>
                  <w:vAlign w:val="center"/>
                </w:tcPr>
                <w:p w14:paraId="189A21E9">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1级</w:t>
                  </w:r>
                </w:p>
              </w:tc>
            </w:tr>
            <w:tr w14:paraId="5B022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4"/>
                  <w:tcBorders>
                    <w:top w:val="single" w:color="auto" w:sz="4" w:space="0"/>
                    <w:left w:val="single" w:color="auto" w:sz="12" w:space="0"/>
                    <w:bottom w:val="single" w:color="auto" w:sz="12" w:space="0"/>
                    <w:right w:val="single" w:color="auto" w:sz="12" w:space="0"/>
                  </w:tcBorders>
                  <w:vAlign w:val="center"/>
                </w:tcPr>
                <w:p w14:paraId="4921213F">
                  <w:pPr>
                    <w:snapToGrid w:val="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本期项目天然气燃烧废气的大气污染物基准氧含量排放浓度按下式进行计算：ρ=ρ՜×[21-φ（O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 [21-φ՜（O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）]，式中：ρ—大气污染物基准氧含量排放浓度，mg/m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；ρ՜—实测的大气污染物排放浓度，mg/m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；φ՜（O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）—实测的氧含量，%；φ（O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）—基准氧含量，%。燃气锅炉基准氧含量φ（O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）为3.5%。</w:t>
                  </w:r>
                </w:p>
              </w:tc>
            </w:tr>
          </w:tbl>
          <w:p w14:paraId="6AF7281E">
            <w:pPr>
              <w:snapToGrid w:val="0"/>
              <w:spacing w:line="44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3、噪声排放标准</w:t>
            </w:r>
          </w:p>
          <w:bookmarkEnd w:id="4"/>
          <w:p w14:paraId="01B7951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本项目在</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施工期噪声执行</w:t>
            </w:r>
            <w:r>
              <w:rPr>
                <w:rFonts w:hint="default" w:ascii="Times New Roman" w:hAnsi="Times New Roman" w:eastAsia="宋体" w:cs="Times New Roman"/>
                <w:color w:val="000000" w:themeColor="text1"/>
                <w:sz w:val="21"/>
                <w:szCs w:val="21"/>
                <w:highlight w:val="none"/>
                <w14:textFill>
                  <w14:solidFill>
                    <w14:schemeClr w14:val="tx1"/>
                  </w14:solidFill>
                </w14:textFill>
              </w:rPr>
              <w:t>《建筑施工场界环境噪声排放标准》（GB12523-2011）</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运营期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执行</w:t>
            </w:r>
            <w:r>
              <w:rPr>
                <w:rFonts w:hint="default" w:ascii="Times New Roman" w:hAnsi="Times New Roman" w:eastAsia="宋体" w:cs="Times New Roman"/>
                <w:color w:val="000000" w:themeColor="text1"/>
                <w:sz w:val="21"/>
                <w:szCs w:val="21"/>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其中</w:t>
            </w:r>
            <w:r>
              <w:rPr>
                <w:rFonts w:hint="default" w:ascii="Times New Roman" w:hAnsi="Times New Roman" w:eastAsia="宋体" w:cs="Times New Roman"/>
                <w:color w:val="000000" w:themeColor="text1"/>
                <w:sz w:val="21"/>
                <w:szCs w:val="21"/>
                <w:highlight w:val="none"/>
                <w14:textFill>
                  <w14:solidFill>
                    <w14:schemeClr w14:val="tx1"/>
                  </w14:solidFill>
                </w14:textFill>
              </w:rPr>
              <w:t>西、南厂界噪声执行4a类标准，昼间70dB(A)、夜间55dB(A)</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北厂界执行2类标准，昼间60dB(A)、夜间50dB(A)</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东厂界执行3类标准</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昼间65dB(A)、夜间55dB(A)。</w:t>
            </w:r>
          </w:p>
          <w:p w14:paraId="5C3F2B2B">
            <w:pPr>
              <w:spacing w:line="440" w:lineRule="exact"/>
              <w:jc w:val="center"/>
              <w:outlineLvl w:val="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表3-</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8本项目</w:t>
            </w:r>
            <w:r>
              <w:rPr>
                <w:rFonts w:hint="default" w:ascii="Times New Roman" w:hAnsi="Times New Roman" w:eastAsia="宋体" w:cs="Times New Roman"/>
                <w:color w:val="000000" w:themeColor="text1"/>
                <w:sz w:val="21"/>
                <w:szCs w:val="21"/>
                <w:highlight w:val="none"/>
                <w14:textFill>
                  <w14:solidFill>
                    <w14:schemeClr w14:val="tx1"/>
                  </w14:solidFill>
                </w14:textFill>
              </w:rPr>
              <w:t>噪声排放标准</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单位：dB(A)</w:t>
            </w:r>
          </w:p>
          <w:tbl>
            <w:tblPr>
              <w:tblStyle w:val="36"/>
              <w:tblpPr w:leftFromText="180" w:rightFromText="180" w:vertAnchor="text" w:horzAnchor="page" w:tblpX="90" w:tblpY="304"/>
              <w:tblOverlap w:val="never"/>
              <w:tblW w:w="5000" w:type="pct"/>
              <w:tblInd w:w="-15" w:type="dxa"/>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Layout w:type="autofit"/>
              <w:tblCellMar>
                <w:top w:w="0" w:type="dxa"/>
                <w:left w:w="108" w:type="dxa"/>
                <w:bottom w:w="0" w:type="dxa"/>
                <w:right w:w="108" w:type="dxa"/>
              </w:tblCellMar>
            </w:tblPr>
            <w:tblGrid>
              <w:gridCol w:w="1136"/>
              <w:gridCol w:w="1876"/>
              <w:gridCol w:w="1240"/>
              <w:gridCol w:w="1142"/>
              <w:gridCol w:w="2814"/>
            </w:tblGrid>
            <w:tr w14:paraId="5683F973">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92" w:type="pct"/>
                  <w:tcBorders>
                    <w:tl2br w:val="nil"/>
                    <w:tr2bl w:val="nil"/>
                  </w:tcBorders>
                  <w:noWrap w:val="0"/>
                  <w:vAlign w:val="center"/>
                </w:tcPr>
                <w:p w14:paraId="6B17BEE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类型</w:t>
                  </w:r>
                </w:p>
              </w:tc>
              <w:tc>
                <w:tcPr>
                  <w:tcW w:w="1142" w:type="pct"/>
                  <w:tcBorders>
                    <w:tl2br w:val="nil"/>
                    <w:tr2bl w:val="nil"/>
                  </w:tcBorders>
                  <w:noWrap w:val="0"/>
                  <w:vAlign w:val="center"/>
                </w:tcPr>
                <w:p w14:paraId="6363C6C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14:textFill>
                        <w14:solidFill>
                          <w14:schemeClr w14:val="tx1"/>
                        </w14:solidFill>
                      </w14:textFill>
                    </w:rPr>
                    <w:t>厂界外声环境功能区类别</w:t>
                  </w:r>
                </w:p>
              </w:tc>
              <w:tc>
                <w:tcPr>
                  <w:tcW w:w="755" w:type="pct"/>
                  <w:tcBorders>
                    <w:tl2br w:val="nil"/>
                    <w:tr2bl w:val="nil"/>
                  </w:tcBorders>
                  <w:noWrap w:val="0"/>
                  <w:vAlign w:val="center"/>
                </w:tcPr>
                <w:p w14:paraId="095E083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昼间</w:t>
                  </w:r>
                </w:p>
              </w:tc>
              <w:tc>
                <w:tcPr>
                  <w:tcW w:w="695" w:type="pct"/>
                  <w:tcBorders>
                    <w:tl2br w:val="nil"/>
                    <w:tr2bl w:val="nil"/>
                  </w:tcBorders>
                  <w:noWrap w:val="0"/>
                  <w:vAlign w:val="center"/>
                </w:tcPr>
                <w:p w14:paraId="69F52BF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夜间</w:t>
                  </w:r>
                </w:p>
              </w:tc>
              <w:tc>
                <w:tcPr>
                  <w:tcW w:w="1713" w:type="pct"/>
                  <w:tcBorders>
                    <w:tl2br w:val="nil"/>
                    <w:tr2bl w:val="nil"/>
                  </w:tcBorders>
                  <w:noWrap w:val="0"/>
                  <w:vAlign w:val="center"/>
                </w:tcPr>
                <w:p w14:paraId="1065E3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执行标准</w:t>
                  </w:r>
                </w:p>
              </w:tc>
            </w:tr>
            <w:tr w14:paraId="1131F769">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92" w:type="pct"/>
                  <w:tcBorders>
                    <w:tl2br w:val="nil"/>
                    <w:tr2bl w:val="nil"/>
                  </w:tcBorders>
                  <w:noWrap w:val="0"/>
                  <w:vAlign w:val="center"/>
                </w:tcPr>
                <w:p w14:paraId="7418D86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施工期</w:t>
                  </w:r>
                </w:p>
              </w:tc>
              <w:tc>
                <w:tcPr>
                  <w:tcW w:w="1142" w:type="pct"/>
                  <w:tcBorders>
                    <w:tl2br w:val="nil"/>
                    <w:tr2bl w:val="nil"/>
                  </w:tcBorders>
                  <w:noWrap w:val="0"/>
                  <w:vAlign w:val="center"/>
                </w:tcPr>
                <w:p w14:paraId="3D74DDE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w:t>
                  </w:r>
                </w:p>
              </w:tc>
              <w:tc>
                <w:tcPr>
                  <w:tcW w:w="755" w:type="pct"/>
                  <w:tcBorders>
                    <w:tl2br w:val="nil"/>
                    <w:tr2bl w:val="nil"/>
                  </w:tcBorders>
                  <w:noWrap w:val="0"/>
                  <w:vAlign w:val="center"/>
                </w:tcPr>
                <w:p w14:paraId="0D5A50A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70</w:t>
                  </w:r>
                </w:p>
              </w:tc>
              <w:tc>
                <w:tcPr>
                  <w:tcW w:w="695" w:type="pct"/>
                  <w:tcBorders>
                    <w:tl2br w:val="nil"/>
                    <w:tr2bl w:val="nil"/>
                  </w:tcBorders>
                  <w:noWrap w:val="0"/>
                  <w:vAlign w:val="center"/>
                </w:tcPr>
                <w:p w14:paraId="353E624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55</w:t>
                  </w:r>
                </w:p>
              </w:tc>
              <w:tc>
                <w:tcPr>
                  <w:tcW w:w="1713" w:type="pct"/>
                  <w:tcBorders>
                    <w:tl2br w:val="nil"/>
                    <w:tr2bl w:val="nil"/>
                  </w:tcBorders>
                  <w:noWrap w:val="0"/>
                  <w:vAlign w:val="center"/>
                </w:tcPr>
                <w:p w14:paraId="7CD047C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14:textFill>
                        <w14:solidFill>
                          <w14:schemeClr w14:val="tx1"/>
                        </w14:solidFill>
                      </w14:textFill>
                    </w:rPr>
                    <w:t>《建筑施工场界环境噪声排放标准》（GB12523-2011）</w:t>
                  </w:r>
                </w:p>
              </w:tc>
            </w:tr>
            <w:tr w14:paraId="6A6224B1">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92" w:type="pct"/>
                  <w:vMerge w:val="restart"/>
                  <w:tcBorders>
                    <w:tl2br w:val="nil"/>
                    <w:tr2bl w:val="nil"/>
                  </w:tcBorders>
                  <w:noWrap w:val="0"/>
                  <w:vAlign w:val="center"/>
                </w:tcPr>
                <w:p w14:paraId="7B3B0212">
                  <w:pPr>
                    <w:pStyle w:val="11"/>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运营期</w:t>
                  </w:r>
                </w:p>
              </w:tc>
              <w:tc>
                <w:tcPr>
                  <w:tcW w:w="1142" w:type="pct"/>
                  <w:tcBorders>
                    <w:tl2br w:val="nil"/>
                    <w:tr2bl w:val="nil"/>
                  </w:tcBorders>
                  <w:noWrap w:val="0"/>
                  <w:vAlign w:val="center"/>
                </w:tcPr>
                <w:p w14:paraId="44315D92">
                  <w:pPr>
                    <w:pStyle w:val="1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2类</w:t>
                  </w:r>
                </w:p>
              </w:tc>
              <w:tc>
                <w:tcPr>
                  <w:tcW w:w="755" w:type="pct"/>
                  <w:tcBorders>
                    <w:tl2br w:val="nil"/>
                    <w:tr2bl w:val="nil"/>
                  </w:tcBorders>
                  <w:noWrap w:val="0"/>
                  <w:vAlign w:val="center"/>
                </w:tcPr>
                <w:p w14:paraId="2C9F728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60</w:t>
                  </w:r>
                </w:p>
              </w:tc>
              <w:tc>
                <w:tcPr>
                  <w:tcW w:w="695" w:type="pct"/>
                  <w:tcBorders>
                    <w:tl2br w:val="nil"/>
                    <w:tr2bl w:val="nil"/>
                  </w:tcBorders>
                  <w:noWrap w:val="0"/>
                  <w:vAlign w:val="center"/>
                </w:tcPr>
                <w:p w14:paraId="2CE83D3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50</w:t>
                  </w:r>
                </w:p>
              </w:tc>
              <w:tc>
                <w:tcPr>
                  <w:tcW w:w="1713" w:type="pct"/>
                  <w:vMerge w:val="restart"/>
                  <w:tcBorders>
                    <w:tl2br w:val="nil"/>
                    <w:tr2bl w:val="nil"/>
                  </w:tcBorders>
                  <w:noWrap w:val="0"/>
                  <w:vAlign w:val="center"/>
                </w:tcPr>
                <w:p w14:paraId="691B7356">
                  <w:pPr>
                    <w:pStyle w:val="11"/>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eastAsia="宋体" w:cs="Times New Roman"/>
                      <w:b w:val="0"/>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14:textFill>
                        <w14:solidFill>
                          <w14:schemeClr w14:val="tx1"/>
                        </w14:solidFill>
                      </w14:textFill>
                    </w:rPr>
                    <w:t>《工业企业厂界环境噪声排放标准》（GB12348-2008）</w:t>
                  </w:r>
                </w:p>
              </w:tc>
            </w:tr>
            <w:tr w14:paraId="13A8B6CD">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92" w:type="pct"/>
                  <w:vMerge w:val="continue"/>
                  <w:tcBorders>
                    <w:tl2br w:val="nil"/>
                    <w:tr2bl w:val="nil"/>
                  </w:tcBorders>
                  <w:noWrap w:val="0"/>
                  <w:vAlign w:val="center"/>
                </w:tcPr>
                <w:p w14:paraId="04657EF6">
                  <w:pPr>
                    <w:pStyle w:val="11"/>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p>
              </w:tc>
              <w:tc>
                <w:tcPr>
                  <w:tcW w:w="1142" w:type="pct"/>
                  <w:tcBorders>
                    <w:tl2br w:val="nil"/>
                    <w:tr2bl w:val="nil"/>
                  </w:tcBorders>
                  <w:noWrap w:val="0"/>
                  <w:vAlign w:val="center"/>
                </w:tcPr>
                <w:p w14:paraId="0EB3C820">
                  <w:pPr>
                    <w:pStyle w:val="1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18"/>
                      <w:szCs w:val="18"/>
                      <w:highlight w:val="none"/>
                      <w14:textFill>
                        <w14:solidFill>
                          <w14:schemeClr w14:val="tx1"/>
                        </w14:solidFill>
                      </w14:textFill>
                    </w:rPr>
                    <w:t>类</w:t>
                  </w:r>
                </w:p>
              </w:tc>
              <w:tc>
                <w:tcPr>
                  <w:tcW w:w="755" w:type="pct"/>
                  <w:tcBorders>
                    <w:tl2br w:val="nil"/>
                    <w:tr2bl w:val="nil"/>
                  </w:tcBorders>
                  <w:noWrap w:val="0"/>
                  <w:vAlign w:val="center"/>
                </w:tcPr>
                <w:p w14:paraId="2126A70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65</w:t>
                  </w:r>
                </w:p>
              </w:tc>
              <w:tc>
                <w:tcPr>
                  <w:tcW w:w="695" w:type="pct"/>
                  <w:tcBorders>
                    <w:tl2br w:val="nil"/>
                    <w:tr2bl w:val="nil"/>
                  </w:tcBorders>
                  <w:noWrap w:val="0"/>
                  <w:vAlign w:val="center"/>
                </w:tcPr>
                <w:p w14:paraId="228EB8D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55</w:t>
                  </w:r>
                </w:p>
              </w:tc>
              <w:tc>
                <w:tcPr>
                  <w:tcW w:w="1713" w:type="pct"/>
                  <w:vMerge w:val="continue"/>
                  <w:tcBorders>
                    <w:tl2br w:val="nil"/>
                    <w:tr2bl w:val="nil"/>
                  </w:tcBorders>
                  <w:noWrap w:val="0"/>
                  <w:vAlign w:val="center"/>
                </w:tcPr>
                <w:p w14:paraId="485C2EB4">
                  <w:pPr>
                    <w:pStyle w:val="11"/>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eastAsia="宋体" w:cs="Times New Roman"/>
                      <w:b w:val="0"/>
                      <w:bCs/>
                      <w:color w:val="000000" w:themeColor="text1"/>
                      <w:sz w:val="18"/>
                      <w:szCs w:val="18"/>
                      <w:highlight w:val="none"/>
                      <w14:textFill>
                        <w14:solidFill>
                          <w14:schemeClr w14:val="tx1"/>
                        </w14:solidFill>
                      </w14:textFill>
                    </w:rPr>
                  </w:pPr>
                </w:p>
              </w:tc>
            </w:tr>
            <w:tr w14:paraId="6B2AFD59">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92" w:type="pct"/>
                  <w:vMerge w:val="continue"/>
                  <w:tcBorders>
                    <w:tl2br w:val="nil"/>
                    <w:tr2bl w:val="nil"/>
                  </w:tcBorders>
                  <w:noWrap w:val="0"/>
                  <w:vAlign w:val="center"/>
                </w:tcPr>
                <w:p w14:paraId="0A5320B9">
                  <w:pPr>
                    <w:pStyle w:val="11"/>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p>
              </w:tc>
              <w:tc>
                <w:tcPr>
                  <w:tcW w:w="1142" w:type="pct"/>
                  <w:tcBorders>
                    <w:tl2br w:val="nil"/>
                    <w:tr2bl w:val="nil"/>
                  </w:tcBorders>
                  <w:noWrap w:val="0"/>
                  <w:vAlign w:val="center"/>
                </w:tcPr>
                <w:p w14:paraId="788A0894">
                  <w:pPr>
                    <w:pStyle w:val="1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4a类</w:t>
                  </w:r>
                </w:p>
              </w:tc>
              <w:tc>
                <w:tcPr>
                  <w:tcW w:w="755" w:type="pct"/>
                  <w:tcBorders>
                    <w:tl2br w:val="nil"/>
                    <w:tr2bl w:val="nil"/>
                  </w:tcBorders>
                  <w:noWrap w:val="0"/>
                  <w:vAlign w:val="center"/>
                </w:tcPr>
                <w:p w14:paraId="764E05D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70</w:t>
                  </w:r>
                </w:p>
              </w:tc>
              <w:tc>
                <w:tcPr>
                  <w:tcW w:w="695" w:type="pct"/>
                  <w:tcBorders>
                    <w:tl2br w:val="nil"/>
                    <w:tr2bl w:val="nil"/>
                  </w:tcBorders>
                  <w:noWrap w:val="0"/>
                  <w:vAlign w:val="center"/>
                </w:tcPr>
                <w:p w14:paraId="00676E7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55</w:t>
                  </w:r>
                </w:p>
              </w:tc>
              <w:tc>
                <w:tcPr>
                  <w:tcW w:w="1713" w:type="pct"/>
                  <w:vMerge w:val="continue"/>
                  <w:tcBorders>
                    <w:tl2br w:val="nil"/>
                    <w:tr2bl w:val="nil"/>
                  </w:tcBorders>
                  <w:noWrap w:val="0"/>
                  <w:vAlign w:val="center"/>
                </w:tcPr>
                <w:p w14:paraId="698A2801">
                  <w:pPr>
                    <w:pStyle w:val="11"/>
                    <w:keepNext w:val="0"/>
                    <w:keepLines w:val="0"/>
                    <w:pageBreakBefore w:val="0"/>
                    <w:widowControl w:val="0"/>
                    <w:kinsoku/>
                    <w:wordWrap/>
                    <w:overflowPunct/>
                    <w:topLinePunct w:val="0"/>
                    <w:autoSpaceDE/>
                    <w:autoSpaceDN/>
                    <w:bidi w:val="0"/>
                    <w:adjustRightInd w:val="0"/>
                    <w:snapToGrid w:val="0"/>
                    <w:ind w:firstLine="0"/>
                    <w:jc w:val="center"/>
                    <w:textAlignment w:val="auto"/>
                    <w:rPr>
                      <w:rFonts w:hint="default" w:ascii="Times New Roman" w:hAnsi="Times New Roman" w:eastAsia="宋体" w:cs="Times New Roman"/>
                      <w:b w:val="0"/>
                      <w:bCs/>
                      <w:color w:val="000000" w:themeColor="text1"/>
                      <w:sz w:val="18"/>
                      <w:szCs w:val="18"/>
                      <w:highlight w:val="none"/>
                      <w14:textFill>
                        <w14:solidFill>
                          <w14:schemeClr w14:val="tx1"/>
                        </w14:solidFill>
                      </w14:textFill>
                    </w:rPr>
                  </w:pPr>
                </w:p>
              </w:tc>
            </w:tr>
          </w:tbl>
          <w:p w14:paraId="107AF68E">
            <w:pPr>
              <w:adjustRightInd w:val="0"/>
              <w:snapToGrid w:val="0"/>
              <w:spacing w:line="440" w:lineRule="exact"/>
              <w:ind w:firstLine="422" w:firstLineChars="200"/>
              <w:jc w:val="left"/>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4、固废暂存要求</w:t>
            </w:r>
          </w:p>
          <w:p w14:paraId="69330EB8">
            <w:pPr>
              <w:adjustRightInd w:val="0"/>
              <w:snapToGrid w:val="0"/>
              <w:spacing w:line="44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本期项目固体废物暂存执行《一般工业固体废物贮存和填埋污染控制标准》（GB18599-2020）、《危险废物贮存污染控制标准》（GB18597-2023）中的有关规定。</w:t>
            </w:r>
          </w:p>
        </w:tc>
      </w:tr>
      <w:tr w14:paraId="7AB509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640" w:type="dxa"/>
            <w:vAlign w:val="center"/>
          </w:tcPr>
          <w:p w14:paraId="3E3D239C">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总量</w:t>
            </w:r>
          </w:p>
          <w:p w14:paraId="4B452721">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控制</w:t>
            </w:r>
          </w:p>
          <w:p w14:paraId="5031A9EF">
            <w:pPr>
              <w:adjustRightInd w:val="0"/>
              <w:snapToGrid w:val="0"/>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指标</w:t>
            </w:r>
          </w:p>
        </w:tc>
        <w:tc>
          <w:tcPr>
            <w:tcW w:w="8350" w:type="dxa"/>
            <w:vAlign w:val="center"/>
          </w:tcPr>
          <w:p w14:paraId="3442CE85">
            <w:pPr>
              <w:spacing w:line="440" w:lineRule="exact"/>
              <w:jc w:val="left"/>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总量控制因子和排放指标</w:t>
            </w:r>
            <w:r>
              <w:rPr>
                <w:rFonts w:hint="default" w:ascii="Times New Roman" w:hAnsi="Times New Roman" w:eastAsia="宋体" w:cs="Times New Roman"/>
                <w:b/>
                <w:bCs/>
                <w:color w:val="000000" w:themeColor="text1"/>
                <w:sz w:val="24"/>
                <w:highlight w:val="none"/>
                <w14:textFill>
                  <w14:solidFill>
                    <w14:schemeClr w14:val="tx1"/>
                  </w14:solidFill>
                </w14:textFill>
              </w:rPr>
              <w:t>：</w:t>
            </w:r>
          </w:p>
          <w:p w14:paraId="2D138204">
            <w:pPr>
              <w:spacing w:line="440" w:lineRule="exact"/>
              <w:jc w:val="center"/>
              <w:outlineLvl w:val="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表3-</w:t>
            </w:r>
            <w:r>
              <w:rPr>
                <w:rFonts w:hint="eastAsia" w:cs="Times New Roman"/>
                <w:color w:val="000000" w:themeColor="text1"/>
                <w:sz w:val="21"/>
                <w:szCs w:val="21"/>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本期项目污染物产生、削减、排放“三本帐”</w:t>
            </w:r>
          </w:p>
          <w:tbl>
            <w:tblPr>
              <w:tblStyle w:val="36"/>
              <w:tblW w:w="4981"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0" w:type="dxa"/>
                <w:bottom w:w="0" w:type="dxa"/>
                <w:right w:w="0" w:type="dxa"/>
              </w:tblCellMar>
            </w:tblPr>
            <w:tblGrid>
              <w:gridCol w:w="393"/>
              <w:gridCol w:w="540"/>
              <w:gridCol w:w="659"/>
              <w:gridCol w:w="1055"/>
              <w:gridCol w:w="1135"/>
              <w:gridCol w:w="1014"/>
              <w:gridCol w:w="1148"/>
              <w:gridCol w:w="741"/>
              <w:gridCol w:w="742"/>
              <w:gridCol w:w="750"/>
            </w:tblGrid>
            <w:tr w14:paraId="4C3563A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88" w:hRule="atLeast"/>
                <w:jc w:val="center"/>
              </w:trPr>
              <w:tc>
                <w:tcPr>
                  <w:tcW w:w="240" w:type="pct"/>
                  <w:vMerge w:val="restart"/>
                  <w:tcBorders>
                    <w:top w:val="single" w:color="auto" w:sz="12" w:space="0"/>
                  </w:tcBorders>
                  <w:vAlign w:val="center"/>
                </w:tcPr>
                <w:p w14:paraId="3E10F6A0">
                  <w:pPr>
                    <w:pStyle w:val="17"/>
                    <w:adjustRightInd w:val="0"/>
                    <w:snapToGrid w:val="0"/>
                    <w:spacing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环境要素</w:t>
                  </w:r>
                </w:p>
              </w:tc>
              <w:tc>
                <w:tcPr>
                  <w:tcW w:w="733" w:type="pct"/>
                  <w:gridSpan w:val="2"/>
                  <w:vMerge w:val="restart"/>
                  <w:tcBorders>
                    <w:top w:val="single" w:color="auto" w:sz="12" w:space="0"/>
                  </w:tcBorders>
                  <w:vAlign w:val="center"/>
                </w:tcPr>
                <w:p w14:paraId="5A3103BB">
                  <w:pPr>
                    <w:pStyle w:val="17"/>
                    <w:adjustRightInd w:val="0"/>
                    <w:snapToGrid w:val="0"/>
                    <w:spacing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污染物名称</w:t>
                  </w:r>
                </w:p>
              </w:tc>
              <w:tc>
                <w:tcPr>
                  <w:tcW w:w="645" w:type="pct"/>
                  <w:vMerge w:val="restart"/>
                  <w:tcBorders>
                    <w:top w:val="single" w:color="auto" w:sz="12" w:space="0"/>
                  </w:tcBorders>
                  <w:vAlign w:val="center"/>
                </w:tcPr>
                <w:p w14:paraId="220142EF">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现有</w:t>
                  </w:r>
                  <w:r>
                    <w:rPr>
                      <w:rFonts w:hint="default" w:ascii="Times New Roman" w:hAnsi="Times New Roman" w:eastAsia="宋体" w:cs="Times New Roman"/>
                      <w:color w:val="000000" w:themeColor="text1"/>
                      <w:sz w:val="18"/>
                      <w:szCs w:val="18"/>
                      <w:highlight w:val="none"/>
                      <w14:textFill>
                        <w14:solidFill>
                          <w14:schemeClr w14:val="tx1"/>
                        </w14:solidFill>
                      </w14:textFill>
                    </w:rPr>
                    <w:t>项目排放量（t/a）</w:t>
                  </w:r>
                </w:p>
              </w:tc>
              <w:tc>
                <w:tcPr>
                  <w:tcW w:w="2016" w:type="pct"/>
                  <w:gridSpan w:val="3"/>
                  <w:tcBorders>
                    <w:top w:val="single" w:color="auto" w:sz="12" w:space="0"/>
                  </w:tcBorders>
                  <w:vAlign w:val="center"/>
                </w:tcPr>
                <w:p w14:paraId="5C00D36B">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p>
              </w:tc>
              <w:tc>
                <w:tcPr>
                  <w:tcW w:w="453" w:type="pct"/>
                  <w:vMerge w:val="restart"/>
                  <w:tcBorders>
                    <w:top w:val="single" w:color="auto" w:sz="12" w:space="0"/>
                  </w:tcBorders>
                  <w:vAlign w:val="center"/>
                </w:tcPr>
                <w:p w14:paraId="6D2DAE2C">
                  <w:pPr>
                    <w:pStyle w:val="17"/>
                    <w:adjustRightInd w:val="0"/>
                    <w:snapToGrid w:val="0"/>
                    <w:spacing w:after="0" w:line="240" w:lineRule="exact"/>
                    <w:ind w:left="0" w:leftChars="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“以新带老”削减量(t/a)</w:t>
                  </w:r>
                </w:p>
              </w:tc>
              <w:tc>
                <w:tcPr>
                  <w:tcW w:w="453" w:type="pct"/>
                  <w:vMerge w:val="restart"/>
                  <w:tcBorders>
                    <w:top w:val="single" w:color="auto" w:sz="12" w:space="0"/>
                    <w:right w:val="single" w:color="auto" w:sz="4" w:space="0"/>
                  </w:tcBorders>
                  <w:vAlign w:val="center"/>
                </w:tcPr>
                <w:p w14:paraId="6B976F88">
                  <w:pPr>
                    <w:pStyle w:val="17"/>
                    <w:adjustRightInd w:val="0"/>
                    <w:snapToGrid w:val="0"/>
                    <w:spacing w:after="0"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后全厂排放量(t/a)</w:t>
                  </w:r>
                </w:p>
              </w:tc>
              <w:tc>
                <w:tcPr>
                  <w:tcW w:w="458" w:type="pct"/>
                  <w:vMerge w:val="restart"/>
                  <w:tcBorders>
                    <w:top w:val="single" w:color="auto" w:sz="12" w:space="0"/>
                  </w:tcBorders>
                  <w:vAlign w:val="center"/>
                </w:tcPr>
                <w:p w14:paraId="447595EA">
                  <w:pPr>
                    <w:pStyle w:val="17"/>
                    <w:adjustRightInd w:val="0"/>
                    <w:snapToGrid w:val="0"/>
                    <w:spacing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新增申请量 (t/a)</w:t>
                  </w:r>
                </w:p>
              </w:tc>
            </w:tr>
            <w:tr w14:paraId="226A741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423" w:hRule="atLeast"/>
                <w:jc w:val="center"/>
              </w:trPr>
              <w:tc>
                <w:tcPr>
                  <w:tcW w:w="240" w:type="pct"/>
                  <w:vMerge w:val="continue"/>
                  <w:tcBorders>
                    <w:bottom w:val="double" w:color="auto" w:sz="4" w:space="0"/>
                  </w:tcBorders>
                  <w:vAlign w:val="center"/>
                </w:tcPr>
                <w:p w14:paraId="487FDF48">
                  <w:pPr>
                    <w:pStyle w:val="17"/>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3" w:type="pct"/>
                  <w:gridSpan w:val="2"/>
                  <w:vMerge w:val="continue"/>
                  <w:tcBorders>
                    <w:bottom w:val="double" w:color="auto" w:sz="4" w:space="0"/>
                  </w:tcBorders>
                  <w:vAlign w:val="center"/>
                </w:tcPr>
                <w:p w14:paraId="271DCB54">
                  <w:pPr>
                    <w:pStyle w:val="17"/>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45" w:type="pct"/>
                  <w:vMerge w:val="continue"/>
                  <w:tcBorders>
                    <w:bottom w:val="double" w:color="auto" w:sz="4" w:space="0"/>
                  </w:tcBorders>
                  <w:vAlign w:val="center"/>
                </w:tcPr>
                <w:p w14:paraId="42CCE305">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94" w:type="pct"/>
                  <w:tcBorders>
                    <w:bottom w:val="double" w:color="auto" w:sz="4" w:space="0"/>
                    <w:right w:val="single" w:color="auto" w:sz="4" w:space="0"/>
                  </w:tcBorders>
                  <w:vAlign w:val="center"/>
                </w:tcPr>
                <w:p w14:paraId="48C8A481">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产生量(t/a)</w:t>
                  </w:r>
                </w:p>
              </w:tc>
              <w:tc>
                <w:tcPr>
                  <w:tcW w:w="620" w:type="pct"/>
                  <w:tcBorders>
                    <w:left w:val="single" w:color="auto" w:sz="4" w:space="0"/>
                    <w:bottom w:val="double" w:color="auto" w:sz="4" w:space="0"/>
                  </w:tcBorders>
                  <w:vAlign w:val="center"/>
                </w:tcPr>
                <w:p w14:paraId="47F82B07">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削减量(t/a)</w:t>
                  </w:r>
                </w:p>
              </w:tc>
              <w:tc>
                <w:tcPr>
                  <w:tcW w:w="701" w:type="pct"/>
                  <w:tcBorders>
                    <w:bottom w:val="double" w:color="auto" w:sz="4" w:space="0"/>
                  </w:tcBorders>
                  <w:vAlign w:val="center"/>
                </w:tcPr>
                <w:p w14:paraId="325E9C07">
                  <w:pPr>
                    <w:pStyle w:val="17"/>
                    <w:adjustRightInd w:val="0"/>
                    <w:snapToGrid w:val="0"/>
                    <w:spacing w:after="0"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排放量(t/a)</w:t>
                  </w:r>
                </w:p>
              </w:tc>
              <w:tc>
                <w:tcPr>
                  <w:tcW w:w="453" w:type="pct"/>
                  <w:vMerge w:val="continue"/>
                  <w:tcBorders>
                    <w:bottom w:val="double" w:color="auto" w:sz="4" w:space="0"/>
                  </w:tcBorders>
                </w:tcPr>
                <w:p w14:paraId="723C13C0">
                  <w:pPr>
                    <w:pStyle w:val="17"/>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53" w:type="pct"/>
                  <w:vMerge w:val="continue"/>
                  <w:tcBorders>
                    <w:bottom w:val="double" w:color="auto" w:sz="4" w:space="0"/>
                    <w:right w:val="single" w:color="auto" w:sz="4" w:space="0"/>
                  </w:tcBorders>
                  <w:vAlign w:val="center"/>
                </w:tcPr>
                <w:p w14:paraId="7C3F43DA">
                  <w:pPr>
                    <w:pStyle w:val="17"/>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58" w:type="pct"/>
                  <w:vMerge w:val="continue"/>
                  <w:tcBorders>
                    <w:bottom w:val="double" w:color="auto" w:sz="4" w:space="0"/>
                  </w:tcBorders>
                  <w:vAlign w:val="center"/>
                </w:tcPr>
                <w:p w14:paraId="2FB720D7">
                  <w:pPr>
                    <w:pStyle w:val="17"/>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6EFE1EC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94" w:hRule="atLeast"/>
                <w:jc w:val="center"/>
              </w:trPr>
              <w:tc>
                <w:tcPr>
                  <w:tcW w:w="240" w:type="pct"/>
                  <w:vMerge w:val="restart"/>
                  <w:vAlign w:val="center"/>
                </w:tcPr>
                <w:p w14:paraId="42BC71A0">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废水</w:t>
                  </w:r>
                </w:p>
              </w:tc>
              <w:tc>
                <w:tcPr>
                  <w:tcW w:w="330" w:type="pct"/>
                  <w:vMerge w:val="restart"/>
                  <w:tcBorders>
                    <w:top w:val="single" w:color="auto" w:sz="2" w:space="0"/>
                    <w:bottom w:val="single" w:color="auto" w:sz="2" w:space="0"/>
                  </w:tcBorders>
                  <w:vAlign w:val="center"/>
                </w:tcPr>
                <w:p w14:paraId="4954CAC5">
                  <w:pPr>
                    <w:adjustRightInd w:val="0"/>
                    <w:snapToGrid w:val="0"/>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废水</w:t>
                  </w:r>
                </w:p>
              </w:tc>
              <w:tc>
                <w:tcPr>
                  <w:tcW w:w="402" w:type="pct"/>
                  <w:tcBorders>
                    <w:top w:val="single" w:color="auto" w:sz="2" w:space="0"/>
                    <w:bottom w:val="single" w:color="auto" w:sz="2" w:space="0"/>
                  </w:tcBorders>
                  <w:vAlign w:val="center"/>
                </w:tcPr>
                <w:p w14:paraId="50971A1A">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废水量</w:t>
                  </w:r>
                </w:p>
              </w:tc>
              <w:tc>
                <w:tcPr>
                  <w:tcW w:w="645" w:type="pct"/>
                  <w:shd w:val="clear" w:color="auto" w:fill="auto"/>
                  <w:vAlign w:val="center"/>
                </w:tcPr>
                <w:p w14:paraId="1A14D4E2">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374672</w:t>
                  </w:r>
                </w:p>
              </w:tc>
              <w:tc>
                <w:tcPr>
                  <w:tcW w:w="694" w:type="pct"/>
                  <w:tcBorders>
                    <w:right w:val="single" w:color="auto" w:sz="4" w:space="0"/>
                  </w:tcBorders>
                  <w:vAlign w:val="center"/>
                </w:tcPr>
                <w:p w14:paraId="6D62FA1E">
                  <w:pPr>
                    <w:adjustRightInd w:val="0"/>
                    <w:snapToGrid w:val="0"/>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14400</w:t>
                  </w:r>
                </w:p>
              </w:tc>
              <w:tc>
                <w:tcPr>
                  <w:tcW w:w="620" w:type="pct"/>
                  <w:tcBorders>
                    <w:left w:val="single" w:color="auto" w:sz="4" w:space="0"/>
                  </w:tcBorders>
                  <w:vAlign w:val="center"/>
                </w:tcPr>
                <w:p w14:paraId="06315F0F">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2AEC2996">
                  <w:pPr>
                    <w:adjustRightInd w:val="0"/>
                    <w:snapToGrid w:val="0"/>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14400</w:t>
                  </w:r>
                </w:p>
              </w:tc>
              <w:tc>
                <w:tcPr>
                  <w:tcW w:w="453" w:type="pct"/>
                  <w:vAlign w:val="center"/>
                </w:tcPr>
                <w:p w14:paraId="183C0D7A">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14400</w:t>
                  </w:r>
                </w:p>
              </w:tc>
              <w:tc>
                <w:tcPr>
                  <w:tcW w:w="453" w:type="pct"/>
                  <w:tcBorders>
                    <w:right w:val="single" w:color="auto" w:sz="4" w:space="0"/>
                  </w:tcBorders>
                  <w:vAlign w:val="center"/>
                </w:tcPr>
                <w:p w14:paraId="3DC90098">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374672</w:t>
                  </w:r>
                </w:p>
              </w:tc>
              <w:tc>
                <w:tcPr>
                  <w:tcW w:w="458" w:type="pct"/>
                  <w:vAlign w:val="center"/>
                </w:tcPr>
                <w:p w14:paraId="502D1132">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2901EAE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64EF369E">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vMerge w:val="continue"/>
                  <w:tcBorders>
                    <w:top w:val="single" w:color="auto" w:sz="2" w:space="0"/>
                    <w:bottom w:val="single" w:color="auto" w:sz="2" w:space="0"/>
                  </w:tcBorders>
                  <w:vAlign w:val="center"/>
                </w:tcPr>
                <w:p w14:paraId="3DDF9FD3">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02" w:type="pct"/>
                  <w:tcBorders>
                    <w:top w:val="single" w:color="auto" w:sz="2" w:space="0"/>
                    <w:bottom w:val="single" w:color="auto" w:sz="2" w:space="0"/>
                  </w:tcBorders>
                  <w:vAlign w:val="center"/>
                </w:tcPr>
                <w:p w14:paraId="30444B75">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645" w:type="pct"/>
                  <w:vAlign w:val="center"/>
                </w:tcPr>
                <w:p w14:paraId="164F25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15.9</w:t>
                  </w:r>
                </w:p>
              </w:tc>
              <w:tc>
                <w:tcPr>
                  <w:tcW w:w="694" w:type="pct"/>
                  <w:tcBorders>
                    <w:right w:val="single" w:color="auto" w:sz="4" w:space="0"/>
                  </w:tcBorders>
                  <w:vAlign w:val="center"/>
                </w:tcPr>
                <w:p w14:paraId="71E0D3DC">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0.79 </w:t>
                  </w:r>
                </w:p>
              </w:tc>
              <w:tc>
                <w:tcPr>
                  <w:tcW w:w="620" w:type="pct"/>
                  <w:tcBorders>
                    <w:left w:val="single" w:color="auto" w:sz="4" w:space="0"/>
                  </w:tcBorders>
                  <w:vAlign w:val="center"/>
                </w:tcPr>
                <w:p w14:paraId="7CEFF0C5">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0.24 </w:t>
                  </w:r>
                </w:p>
              </w:tc>
              <w:tc>
                <w:tcPr>
                  <w:tcW w:w="701" w:type="pct"/>
                  <w:vAlign w:val="center"/>
                </w:tcPr>
                <w:p w14:paraId="354BFA68">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0.55 </w:t>
                  </w:r>
                </w:p>
              </w:tc>
              <w:tc>
                <w:tcPr>
                  <w:tcW w:w="453" w:type="pct"/>
                  <w:vAlign w:val="center"/>
                </w:tcPr>
                <w:p w14:paraId="0C6A4DE7">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0.55</w:t>
                  </w:r>
                </w:p>
              </w:tc>
              <w:tc>
                <w:tcPr>
                  <w:tcW w:w="453" w:type="pct"/>
                  <w:tcBorders>
                    <w:right w:val="single" w:color="auto" w:sz="4" w:space="0"/>
                  </w:tcBorders>
                  <w:vAlign w:val="center"/>
                </w:tcPr>
                <w:p w14:paraId="3CCC9F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15.9</w:t>
                  </w:r>
                </w:p>
              </w:tc>
              <w:tc>
                <w:tcPr>
                  <w:tcW w:w="458" w:type="pct"/>
                  <w:vAlign w:val="center"/>
                </w:tcPr>
                <w:p w14:paraId="41FDB96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3F3F056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4FA09B41">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vMerge w:val="continue"/>
                  <w:tcBorders>
                    <w:top w:val="single" w:color="auto" w:sz="2" w:space="0"/>
                  </w:tcBorders>
                  <w:vAlign w:val="center"/>
                </w:tcPr>
                <w:p w14:paraId="054AF33F">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02" w:type="pct"/>
                  <w:tcBorders>
                    <w:top w:val="single" w:color="auto" w:sz="2" w:space="0"/>
                  </w:tcBorders>
                  <w:vAlign w:val="center"/>
                </w:tcPr>
                <w:p w14:paraId="7691F8A1">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645" w:type="pct"/>
                  <w:vAlign w:val="center"/>
                </w:tcPr>
                <w:p w14:paraId="411F93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12.7</w:t>
                  </w:r>
                </w:p>
              </w:tc>
              <w:tc>
                <w:tcPr>
                  <w:tcW w:w="694" w:type="pct"/>
                  <w:tcBorders>
                    <w:right w:val="single" w:color="auto" w:sz="4" w:space="0"/>
                  </w:tcBorders>
                  <w:vAlign w:val="center"/>
                </w:tcPr>
                <w:p w14:paraId="3D38F840">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1.94 </w:t>
                  </w:r>
                </w:p>
              </w:tc>
              <w:tc>
                <w:tcPr>
                  <w:tcW w:w="620" w:type="pct"/>
                  <w:tcBorders>
                    <w:left w:val="single" w:color="auto" w:sz="4" w:space="0"/>
                  </w:tcBorders>
                  <w:vAlign w:val="center"/>
                </w:tcPr>
                <w:p w14:paraId="69F3A991">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1.56 </w:t>
                  </w:r>
                </w:p>
              </w:tc>
              <w:tc>
                <w:tcPr>
                  <w:tcW w:w="701" w:type="pct"/>
                  <w:vAlign w:val="center"/>
                </w:tcPr>
                <w:p w14:paraId="1652B414">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 xml:space="preserve">0.39 </w:t>
                  </w:r>
                </w:p>
              </w:tc>
              <w:tc>
                <w:tcPr>
                  <w:tcW w:w="453" w:type="pct"/>
                  <w:vAlign w:val="center"/>
                </w:tcPr>
                <w:p w14:paraId="2491F6E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0.39</w:t>
                  </w:r>
                </w:p>
              </w:tc>
              <w:tc>
                <w:tcPr>
                  <w:tcW w:w="453" w:type="pct"/>
                  <w:tcBorders>
                    <w:right w:val="single" w:color="auto" w:sz="4" w:space="0"/>
                  </w:tcBorders>
                  <w:vAlign w:val="center"/>
                </w:tcPr>
                <w:p w14:paraId="2E6127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12.7</w:t>
                  </w:r>
                </w:p>
              </w:tc>
              <w:tc>
                <w:tcPr>
                  <w:tcW w:w="458" w:type="pct"/>
                  <w:vAlign w:val="center"/>
                </w:tcPr>
                <w:p w14:paraId="6B423F4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42D6A48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94" w:hRule="atLeast"/>
                <w:jc w:val="center"/>
              </w:trPr>
              <w:tc>
                <w:tcPr>
                  <w:tcW w:w="240" w:type="pct"/>
                  <w:vMerge w:val="continue"/>
                  <w:vAlign w:val="center"/>
                </w:tcPr>
                <w:p w14:paraId="47DFA49E">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vMerge w:val="continue"/>
                  <w:tcBorders>
                    <w:top w:val="single" w:color="auto" w:sz="2" w:space="0"/>
                  </w:tcBorders>
                  <w:vAlign w:val="center"/>
                </w:tcPr>
                <w:p w14:paraId="55D7E3E5">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02" w:type="pct"/>
                  <w:vAlign w:val="center"/>
                </w:tcPr>
                <w:p w14:paraId="5B3643E5">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氨氮</w:t>
                  </w:r>
                </w:p>
              </w:tc>
              <w:tc>
                <w:tcPr>
                  <w:tcW w:w="645" w:type="pct"/>
                  <w:vAlign w:val="center"/>
                </w:tcPr>
                <w:p w14:paraId="09EA98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1.11</w:t>
                  </w:r>
                </w:p>
              </w:tc>
              <w:tc>
                <w:tcPr>
                  <w:tcW w:w="694" w:type="pct"/>
                  <w:tcBorders>
                    <w:right w:val="single" w:color="auto" w:sz="4" w:space="0"/>
                  </w:tcBorders>
                  <w:vAlign w:val="center"/>
                </w:tcPr>
                <w:p w14:paraId="4258A4C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tcBorders>
                  <w:vAlign w:val="center"/>
                </w:tcPr>
                <w:p w14:paraId="20DC7943">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410744AA">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vAlign w:val="center"/>
                </w:tcPr>
                <w:p w14:paraId="5A1A7DB3">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tcBorders>
                    <w:right w:val="single" w:color="auto" w:sz="4" w:space="0"/>
                  </w:tcBorders>
                  <w:vAlign w:val="center"/>
                </w:tcPr>
                <w:p w14:paraId="73FBBC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1.11</w:t>
                  </w:r>
                </w:p>
              </w:tc>
              <w:tc>
                <w:tcPr>
                  <w:tcW w:w="458" w:type="pct"/>
                  <w:vAlign w:val="center"/>
                </w:tcPr>
                <w:p w14:paraId="6D466D6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5A7197C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78" w:hRule="atLeast"/>
                <w:jc w:val="center"/>
              </w:trPr>
              <w:tc>
                <w:tcPr>
                  <w:tcW w:w="240" w:type="pct"/>
                  <w:vMerge w:val="continue"/>
                  <w:vAlign w:val="center"/>
                </w:tcPr>
                <w:p w14:paraId="7685D83C">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vMerge w:val="continue"/>
                  <w:tcBorders>
                    <w:top w:val="single" w:color="auto" w:sz="2" w:space="0"/>
                  </w:tcBorders>
                  <w:vAlign w:val="center"/>
                </w:tcPr>
                <w:p w14:paraId="66B69448">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02" w:type="pct"/>
                  <w:vAlign w:val="center"/>
                </w:tcPr>
                <w:p w14:paraId="3FC8BC33">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总磷</w:t>
                  </w:r>
                </w:p>
              </w:tc>
              <w:tc>
                <w:tcPr>
                  <w:tcW w:w="645" w:type="pct"/>
                  <w:vAlign w:val="center"/>
                </w:tcPr>
                <w:p w14:paraId="1EC119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0.13</w:t>
                  </w:r>
                </w:p>
              </w:tc>
              <w:tc>
                <w:tcPr>
                  <w:tcW w:w="694" w:type="pct"/>
                  <w:tcBorders>
                    <w:right w:val="single" w:color="auto" w:sz="4" w:space="0"/>
                  </w:tcBorders>
                  <w:vAlign w:val="center"/>
                </w:tcPr>
                <w:p w14:paraId="5F1AD51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tcBorders>
                  <w:vAlign w:val="center"/>
                </w:tcPr>
                <w:p w14:paraId="5CB7A5AB">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6BCE0B97">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vAlign w:val="center"/>
                </w:tcPr>
                <w:p w14:paraId="5EE1E9E1">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tcBorders>
                    <w:right w:val="single" w:color="auto" w:sz="4" w:space="0"/>
                  </w:tcBorders>
                  <w:vAlign w:val="center"/>
                </w:tcPr>
                <w:p w14:paraId="057846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0.13</w:t>
                  </w:r>
                </w:p>
              </w:tc>
              <w:tc>
                <w:tcPr>
                  <w:tcW w:w="458" w:type="pct"/>
                  <w:vAlign w:val="center"/>
                </w:tcPr>
                <w:p w14:paraId="4CD04884">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16688D1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4D69D05A">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vMerge w:val="continue"/>
                  <w:tcBorders>
                    <w:top w:val="single" w:color="auto" w:sz="2" w:space="0"/>
                  </w:tcBorders>
                  <w:vAlign w:val="center"/>
                </w:tcPr>
                <w:p w14:paraId="11D20BD8">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02" w:type="pct"/>
                  <w:vAlign w:val="center"/>
                </w:tcPr>
                <w:p w14:paraId="3EA71503">
                  <w:pPr>
                    <w:spacing w:line="240" w:lineRule="atLeas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总氮</w:t>
                  </w:r>
                </w:p>
              </w:tc>
              <w:tc>
                <w:tcPr>
                  <w:tcW w:w="645" w:type="pct"/>
                  <w:vAlign w:val="center"/>
                </w:tcPr>
                <w:p w14:paraId="77BA7F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0.48</w:t>
                  </w:r>
                </w:p>
              </w:tc>
              <w:tc>
                <w:tcPr>
                  <w:tcW w:w="694" w:type="pct"/>
                  <w:tcBorders>
                    <w:right w:val="single" w:color="auto" w:sz="4" w:space="0"/>
                  </w:tcBorders>
                  <w:vAlign w:val="center"/>
                </w:tcPr>
                <w:p w14:paraId="2A84AE7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tcBorders>
                  <w:vAlign w:val="center"/>
                </w:tcPr>
                <w:p w14:paraId="446B2A93">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5A5EE376">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vAlign w:val="center"/>
                </w:tcPr>
                <w:p w14:paraId="76E7E112">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453" w:type="pct"/>
                  <w:tcBorders>
                    <w:right w:val="single" w:color="auto" w:sz="4" w:space="0"/>
                  </w:tcBorders>
                  <w:vAlign w:val="center"/>
                </w:tcPr>
                <w:p w14:paraId="06ADD0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vertAlign w:val="baseline"/>
                      <w:lang w:val="en-US" w:eastAsia="zh-CN"/>
                      <w14:textFill>
                        <w14:solidFill>
                          <w14:schemeClr w14:val="tx1"/>
                        </w14:solidFill>
                      </w14:textFill>
                    </w:rPr>
                    <w:t>0.48</w:t>
                  </w:r>
                </w:p>
              </w:tc>
              <w:tc>
                <w:tcPr>
                  <w:tcW w:w="458" w:type="pct"/>
                  <w:vAlign w:val="center"/>
                </w:tcPr>
                <w:p w14:paraId="4832E74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1962238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restart"/>
                  <w:vAlign w:val="center"/>
                </w:tcPr>
                <w:p w14:paraId="34CFB6E4">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废气</w:t>
                  </w:r>
                </w:p>
              </w:tc>
              <w:tc>
                <w:tcPr>
                  <w:tcW w:w="733" w:type="pct"/>
                  <w:gridSpan w:val="2"/>
                  <w:vMerge w:val="restart"/>
                  <w:vAlign w:val="center"/>
                </w:tcPr>
                <w:p w14:paraId="41B15A3E">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污染物名称</w:t>
                  </w:r>
                </w:p>
              </w:tc>
              <w:tc>
                <w:tcPr>
                  <w:tcW w:w="645" w:type="pct"/>
                  <w:vMerge w:val="restart"/>
                  <w:vAlign w:val="center"/>
                </w:tcPr>
                <w:p w14:paraId="52DA3A39">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原有项目排放量（t/a）</w:t>
                  </w:r>
                </w:p>
              </w:tc>
              <w:tc>
                <w:tcPr>
                  <w:tcW w:w="2016" w:type="pct"/>
                  <w:gridSpan w:val="3"/>
                  <w:vAlign w:val="center"/>
                </w:tcPr>
                <w:p w14:paraId="5D9D8ED8">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p>
              </w:tc>
              <w:tc>
                <w:tcPr>
                  <w:tcW w:w="453" w:type="pct"/>
                  <w:vMerge w:val="restart"/>
                  <w:vAlign w:val="center"/>
                </w:tcPr>
                <w:p w14:paraId="43689371">
                  <w:pPr>
                    <w:pStyle w:val="17"/>
                    <w:adjustRightInd w:val="0"/>
                    <w:snapToGrid w:val="0"/>
                    <w:spacing w:after="0"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“以新带老”削减量(t/a)</w:t>
                  </w:r>
                </w:p>
              </w:tc>
              <w:tc>
                <w:tcPr>
                  <w:tcW w:w="453" w:type="pct"/>
                  <w:vMerge w:val="restart"/>
                  <w:tcBorders>
                    <w:right w:val="single" w:color="auto" w:sz="4" w:space="0"/>
                  </w:tcBorders>
                  <w:vAlign w:val="center"/>
                </w:tcPr>
                <w:p w14:paraId="03E0BECE">
                  <w:pPr>
                    <w:pStyle w:val="17"/>
                    <w:adjustRightInd w:val="0"/>
                    <w:snapToGrid w:val="0"/>
                    <w:spacing w:after="0"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18"/>
                      <w:szCs w:val="18"/>
                      <w:highlight w:val="none"/>
                      <w14:textFill>
                        <w14:solidFill>
                          <w14:schemeClr w14:val="tx1"/>
                        </w14:solidFill>
                      </w14:textFill>
                    </w:rPr>
                    <w:t>后全厂排放量(t/a)</w:t>
                  </w:r>
                </w:p>
              </w:tc>
              <w:tc>
                <w:tcPr>
                  <w:tcW w:w="458" w:type="pct"/>
                  <w:vMerge w:val="restart"/>
                  <w:vAlign w:val="center"/>
                </w:tcPr>
                <w:p w14:paraId="0B721EE8">
                  <w:pPr>
                    <w:pStyle w:val="17"/>
                    <w:adjustRightInd w:val="0"/>
                    <w:snapToGrid w:val="0"/>
                    <w:spacing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新增申请量 (t/a)</w:t>
                  </w:r>
                </w:p>
              </w:tc>
            </w:tr>
            <w:tr w14:paraId="3FE1988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630" w:hRule="atLeast"/>
                <w:jc w:val="center"/>
              </w:trPr>
              <w:tc>
                <w:tcPr>
                  <w:tcW w:w="240" w:type="pct"/>
                  <w:vMerge w:val="continue"/>
                  <w:vAlign w:val="center"/>
                </w:tcPr>
                <w:p w14:paraId="04C4DAA8">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3" w:type="pct"/>
                  <w:gridSpan w:val="2"/>
                  <w:vMerge w:val="continue"/>
                  <w:vAlign w:val="center"/>
                </w:tcPr>
                <w:p w14:paraId="2C897D10">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45" w:type="pct"/>
                  <w:vMerge w:val="continue"/>
                  <w:vAlign w:val="center"/>
                </w:tcPr>
                <w:p w14:paraId="18CAD100">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94" w:type="pct"/>
                  <w:tcBorders>
                    <w:right w:val="single" w:color="auto" w:sz="4" w:space="0"/>
                  </w:tcBorders>
                  <w:vAlign w:val="center"/>
                </w:tcPr>
                <w:p w14:paraId="7CCFEADF">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产生量(t/a)</w:t>
                  </w:r>
                </w:p>
              </w:tc>
              <w:tc>
                <w:tcPr>
                  <w:tcW w:w="620" w:type="pct"/>
                  <w:tcBorders>
                    <w:left w:val="single" w:color="auto" w:sz="4" w:space="0"/>
                  </w:tcBorders>
                  <w:vAlign w:val="center"/>
                </w:tcPr>
                <w:p w14:paraId="27E14E9D">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削减量(t/a)</w:t>
                  </w:r>
                </w:p>
              </w:tc>
              <w:tc>
                <w:tcPr>
                  <w:tcW w:w="701" w:type="pct"/>
                  <w:vAlign w:val="center"/>
                </w:tcPr>
                <w:p w14:paraId="5E737D89">
                  <w:pPr>
                    <w:pStyle w:val="17"/>
                    <w:adjustRightInd w:val="0"/>
                    <w:snapToGrid w:val="0"/>
                    <w:spacing w:line="240" w:lineRule="exact"/>
                    <w:ind w:left="0" w:left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排放量(t/a)</w:t>
                  </w:r>
                </w:p>
              </w:tc>
              <w:tc>
                <w:tcPr>
                  <w:tcW w:w="453" w:type="pct"/>
                  <w:vMerge w:val="continue"/>
                </w:tcPr>
                <w:p w14:paraId="296C7056">
                  <w:pPr>
                    <w:pStyle w:val="27"/>
                    <w:spacing w:line="240" w:lineRule="exac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53" w:type="pct"/>
                  <w:vMerge w:val="continue"/>
                  <w:tcBorders>
                    <w:right w:val="single" w:color="auto" w:sz="4" w:space="0"/>
                  </w:tcBorders>
                  <w:vAlign w:val="center"/>
                </w:tcPr>
                <w:p w14:paraId="2D7655BB">
                  <w:pPr>
                    <w:pStyle w:val="27"/>
                    <w:spacing w:line="240" w:lineRule="exact"/>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58" w:type="pct"/>
                  <w:vMerge w:val="continue"/>
                  <w:vAlign w:val="center"/>
                </w:tcPr>
                <w:p w14:paraId="71FE2687">
                  <w:pPr>
                    <w:pStyle w:val="27"/>
                    <w:spacing w:line="240" w:lineRule="exact"/>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7C958E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783F3C87">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tcBorders>
                    <w:right w:val="single" w:color="auto" w:sz="4" w:space="0"/>
                  </w:tcBorders>
                  <w:shd w:val="clear" w:color="auto" w:fill="auto"/>
                  <w:vAlign w:val="center"/>
                </w:tcPr>
                <w:p w14:paraId="05EA97E9">
                  <w:pPr>
                    <w:adjustRightInd w:val="0"/>
                    <w:snapToGrid w:val="0"/>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402" w:type="pct"/>
                  <w:tcBorders>
                    <w:left w:val="single" w:color="auto" w:sz="4" w:space="0"/>
                  </w:tcBorders>
                  <w:shd w:val="clear" w:color="auto" w:fill="auto"/>
                  <w:vAlign w:val="center"/>
                </w:tcPr>
                <w:p w14:paraId="6657BB65">
                  <w:pPr>
                    <w:adjustRightInd w:val="0"/>
                    <w:snapToGrid w:val="0"/>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有组织</w:t>
                  </w:r>
                </w:p>
              </w:tc>
              <w:tc>
                <w:tcPr>
                  <w:tcW w:w="645" w:type="pct"/>
                  <w:shd w:val="clear" w:color="auto" w:fill="auto"/>
                  <w:vAlign w:val="center"/>
                </w:tcPr>
                <w:p w14:paraId="210FCFFF">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185.90</w:t>
                  </w:r>
                </w:p>
              </w:tc>
              <w:tc>
                <w:tcPr>
                  <w:tcW w:w="694" w:type="pct"/>
                  <w:tcBorders>
                    <w:right w:val="single" w:color="auto" w:sz="4" w:space="0"/>
                  </w:tcBorders>
                  <w:shd w:val="clear" w:color="auto" w:fill="auto"/>
                  <w:vAlign w:val="center"/>
                </w:tcPr>
                <w:p w14:paraId="657D6F86">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2.30</w:t>
                  </w:r>
                </w:p>
              </w:tc>
              <w:tc>
                <w:tcPr>
                  <w:tcW w:w="620" w:type="pct"/>
                  <w:tcBorders>
                    <w:left w:val="single" w:color="auto" w:sz="4" w:space="0"/>
                  </w:tcBorders>
                  <w:shd w:val="clear" w:color="auto" w:fill="auto"/>
                  <w:vAlign w:val="center"/>
                </w:tcPr>
                <w:p w14:paraId="2649515E">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shd w:val="clear" w:color="auto" w:fill="auto"/>
                  <w:vAlign w:val="center"/>
                </w:tcPr>
                <w:p w14:paraId="69FDE750">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2.30</w:t>
                  </w:r>
                </w:p>
              </w:tc>
              <w:tc>
                <w:tcPr>
                  <w:tcW w:w="453" w:type="pct"/>
                  <w:shd w:val="clear" w:color="auto" w:fill="auto"/>
                  <w:vAlign w:val="center"/>
                </w:tcPr>
                <w:p w14:paraId="0351B082">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2.30</w:t>
                  </w:r>
                </w:p>
              </w:tc>
              <w:tc>
                <w:tcPr>
                  <w:tcW w:w="453" w:type="pct"/>
                  <w:tcBorders>
                    <w:right w:val="single" w:color="auto" w:sz="4" w:space="0"/>
                  </w:tcBorders>
                  <w:shd w:val="clear" w:color="auto" w:fill="auto"/>
                  <w:vAlign w:val="center"/>
                </w:tcPr>
                <w:p w14:paraId="2EEC5130">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185.90</w:t>
                  </w:r>
                </w:p>
              </w:tc>
              <w:tc>
                <w:tcPr>
                  <w:tcW w:w="458" w:type="pct"/>
                  <w:shd w:val="clear" w:color="auto" w:fill="auto"/>
                  <w:vAlign w:val="center"/>
                </w:tcPr>
                <w:p w14:paraId="36CD7580">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20F582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53878441">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tcBorders>
                    <w:right w:val="single" w:color="auto" w:sz="4" w:space="0"/>
                  </w:tcBorders>
                  <w:shd w:val="clear" w:color="auto" w:fill="auto"/>
                  <w:vAlign w:val="center"/>
                </w:tcPr>
                <w:p w14:paraId="36B6241C">
                  <w:pPr>
                    <w:adjustRightInd w:val="0"/>
                    <w:snapToGrid w:val="0"/>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402" w:type="pct"/>
                  <w:tcBorders>
                    <w:left w:val="single" w:color="auto" w:sz="4" w:space="0"/>
                  </w:tcBorders>
                  <w:shd w:val="clear" w:color="auto" w:fill="auto"/>
                  <w:vAlign w:val="center"/>
                </w:tcPr>
                <w:p w14:paraId="605D6D29">
                  <w:pPr>
                    <w:adjustRightInd w:val="0"/>
                    <w:snapToGrid w:val="0"/>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有组织</w:t>
                  </w:r>
                </w:p>
              </w:tc>
              <w:tc>
                <w:tcPr>
                  <w:tcW w:w="645" w:type="pct"/>
                  <w:shd w:val="clear" w:color="auto" w:fill="auto"/>
                  <w:vAlign w:val="center"/>
                </w:tcPr>
                <w:p w14:paraId="294C0E93">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357.08</w:t>
                  </w:r>
                </w:p>
              </w:tc>
              <w:tc>
                <w:tcPr>
                  <w:tcW w:w="694" w:type="pct"/>
                  <w:tcBorders>
                    <w:right w:val="single" w:color="auto" w:sz="4" w:space="0"/>
                  </w:tcBorders>
                  <w:shd w:val="clear" w:color="auto" w:fill="auto"/>
                  <w:vAlign w:val="center"/>
                </w:tcPr>
                <w:p w14:paraId="31AADEB3">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p>
              </w:tc>
              <w:tc>
                <w:tcPr>
                  <w:tcW w:w="620" w:type="pct"/>
                  <w:tcBorders>
                    <w:left w:val="single" w:color="auto" w:sz="4" w:space="0"/>
                  </w:tcBorders>
                  <w:shd w:val="clear" w:color="auto" w:fill="auto"/>
                  <w:vAlign w:val="center"/>
                </w:tcPr>
                <w:p w14:paraId="498E1916">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shd w:val="clear" w:color="auto" w:fill="auto"/>
                  <w:vAlign w:val="center"/>
                </w:tcPr>
                <w:p w14:paraId="371AABAE">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p>
              </w:tc>
              <w:tc>
                <w:tcPr>
                  <w:tcW w:w="453" w:type="pct"/>
                  <w:shd w:val="clear" w:color="auto" w:fill="auto"/>
                  <w:vAlign w:val="center"/>
                </w:tcPr>
                <w:p w14:paraId="4381C9C9">
                  <w:pPr>
                    <w:widowControl/>
                    <w:adjustRightIn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p>
              </w:tc>
              <w:tc>
                <w:tcPr>
                  <w:tcW w:w="453" w:type="pct"/>
                  <w:tcBorders>
                    <w:right w:val="single" w:color="auto" w:sz="4" w:space="0"/>
                  </w:tcBorders>
                  <w:shd w:val="clear" w:color="auto" w:fill="auto"/>
                  <w:vAlign w:val="center"/>
                </w:tcPr>
                <w:p w14:paraId="0B00AB77">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357.08</w:t>
                  </w:r>
                </w:p>
              </w:tc>
              <w:tc>
                <w:tcPr>
                  <w:tcW w:w="458" w:type="pct"/>
                  <w:shd w:val="clear" w:color="auto" w:fill="auto"/>
                  <w:vAlign w:val="center"/>
                </w:tcPr>
                <w:p w14:paraId="622BB241">
                  <w:pPr>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7A3A428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50" w:hRule="atLeast"/>
                <w:jc w:val="center"/>
              </w:trPr>
              <w:tc>
                <w:tcPr>
                  <w:tcW w:w="240" w:type="pct"/>
                  <w:vMerge w:val="continue"/>
                  <w:vAlign w:val="center"/>
                </w:tcPr>
                <w:p w14:paraId="211FF13C">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30" w:type="pct"/>
                  <w:tcBorders>
                    <w:right w:val="single" w:color="auto" w:sz="4" w:space="0"/>
                  </w:tcBorders>
                  <w:vAlign w:val="center"/>
                </w:tcPr>
                <w:p w14:paraId="1CB65F27">
                  <w:pPr>
                    <w:spacing w:line="2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402" w:type="pct"/>
                  <w:tcBorders>
                    <w:left w:val="single" w:color="auto" w:sz="4" w:space="0"/>
                  </w:tcBorders>
                  <w:vAlign w:val="center"/>
                </w:tcPr>
                <w:p w14:paraId="7800292D">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有组织</w:t>
                  </w:r>
                </w:p>
              </w:tc>
              <w:tc>
                <w:tcPr>
                  <w:tcW w:w="645" w:type="pct"/>
                  <w:vAlign w:val="center"/>
                </w:tcPr>
                <w:p w14:paraId="4F5D79D7">
                  <w:pPr>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41.66</w:t>
                  </w:r>
                </w:p>
              </w:tc>
              <w:tc>
                <w:tcPr>
                  <w:tcW w:w="694" w:type="pct"/>
                  <w:tcBorders>
                    <w:right w:val="single" w:color="auto" w:sz="4" w:space="0"/>
                  </w:tcBorders>
                  <w:vAlign w:val="center"/>
                </w:tcPr>
                <w:p w14:paraId="029EADD6">
                  <w:pPr>
                    <w:widowControl/>
                    <w:adjustRightIn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p>
              </w:tc>
              <w:tc>
                <w:tcPr>
                  <w:tcW w:w="620" w:type="pct"/>
                  <w:tcBorders>
                    <w:left w:val="single" w:color="auto" w:sz="4" w:space="0"/>
                  </w:tcBorders>
                  <w:vAlign w:val="center"/>
                </w:tcPr>
                <w:p w14:paraId="2B5191B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0A6B5B7C">
                  <w:pPr>
                    <w:widowControl/>
                    <w:adjustRightIn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p>
              </w:tc>
              <w:tc>
                <w:tcPr>
                  <w:tcW w:w="453" w:type="pct"/>
                  <w:vAlign w:val="center"/>
                </w:tcPr>
                <w:p w14:paraId="6BD25BED">
                  <w:pPr>
                    <w:widowControl/>
                    <w:adjustRightIn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p>
              </w:tc>
              <w:tc>
                <w:tcPr>
                  <w:tcW w:w="453" w:type="pct"/>
                  <w:tcBorders>
                    <w:right w:val="single" w:color="auto" w:sz="4" w:space="0"/>
                  </w:tcBorders>
                  <w:vAlign w:val="center"/>
                </w:tcPr>
                <w:p w14:paraId="129A428E">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41.66</w:t>
                  </w:r>
                </w:p>
              </w:tc>
              <w:tc>
                <w:tcPr>
                  <w:tcW w:w="458" w:type="pct"/>
                  <w:vAlign w:val="center"/>
                </w:tcPr>
                <w:p w14:paraId="02B78305">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r>
            <w:tr w14:paraId="5EDACB3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251" w:hRule="atLeast"/>
                <w:jc w:val="center"/>
              </w:trPr>
              <w:tc>
                <w:tcPr>
                  <w:tcW w:w="240" w:type="pct"/>
                  <w:vMerge w:val="restart"/>
                  <w:vAlign w:val="center"/>
                </w:tcPr>
                <w:p w14:paraId="40A7DDAC">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固废</w:t>
                  </w:r>
                </w:p>
              </w:tc>
              <w:tc>
                <w:tcPr>
                  <w:tcW w:w="733" w:type="pct"/>
                  <w:gridSpan w:val="2"/>
                  <w:vAlign w:val="center"/>
                </w:tcPr>
                <w:p w14:paraId="7D3054CC">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一般固废</w:t>
                  </w:r>
                </w:p>
              </w:tc>
              <w:tc>
                <w:tcPr>
                  <w:tcW w:w="645" w:type="pct"/>
                  <w:vAlign w:val="center"/>
                </w:tcPr>
                <w:p w14:paraId="25F712B7">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94" w:type="pct"/>
                  <w:tcBorders>
                    <w:right w:val="single" w:color="auto" w:sz="4" w:space="0"/>
                  </w:tcBorders>
                  <w:vAlign w:val="center"/>
                </w:tcPr>
                <w:p w14:paraId="3B295B78">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tcBorders>
                  <w:vAlign w:val="center"/>
                </w:tcPr>
                <w:p w14:paraId="0E7B4486">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3740AA0F">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vAlign w:val="center"/>
                </w:tcPr>
                <w:p w14:paraId="1244236D">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tcBorders>
                    <w:right w:val="single" w:color="auto" w:sz="4" w:space="0"/>
                  </w:tcBorders>
                  <w:vAlign w:val="center"/>
                </w:tcPr>
                <w:p w14:paraId="747D26BF">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w:t>
                  </w:r>
                </w:p>
              </w:tc>
              <w:tc>
                <w:tcPr>
                  <w:tcW w:w="458" w:type="pct"/>
                  <w:vAlign w:val="center"/>
                </w:tcPr>
                <w:p w14:paraId="1FF86DDC">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3249E86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109" w:hRule="atLeast"/>
                <w:jc w:val="center"/>
              </w:trPr>
              <w:tc>
                <w:tcPr>
                  <w:tcW w:w="240" w:type="pct"/>
                  <w:vMerge w:val="continue"/>
                  <w:vAlign w:val="center"/>
                </w:tcPr>
                <w:p w14:paraId="5D9CF26B">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3" w:type="pct"/>
                  <w:gridSpan w:val="2"/>
                  <w:vAlign w:val="center"/>
                </w:tcPr>
                <w:p w14:paraId="2CC1CAA2">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危险固废</w:t>
                  </w:r>
                </w:p>
              </w:tc>
              <w:tc>
                <w:tcPr>
                  <w:tcW w:w="645" w:type="pct"/>
                  <w:vAlign w:val="center"/>
                </w:tcPr>
                <w:p w14:paraId="4B668209">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94" w:type="pct"/>
                  <w:tcBorders>
                    <w:right w:val="single" w:color="auto" w:sz="4" w:space="0"/>
                  </w:tcBorders>
                  <w:vAlign w:val="center"/>
                </w:tcPr>
                <w:p w14:paraId="696D6B8A">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tcBorders>
                  <w:vAlign w:val="center"/>
                </w:tcPr>
                <w:p w14:paraId="26874C51">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vAlign w:val="center"/>
                </w:tcPr>
                <w:p w14:paraId="1FF8E255">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vAlign w:val="center"/>
                </w:tcPr>
                <w:p w14:paraId="6A750699">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tcBorders>
                    <w:right w:val="single" w:color="auto" w:sz="4" w:space="0"/>
                  </w:tcBorders>
                  <w:vAlign w:val="center"/>
                </w:tcPr>
                <w:p w14:paraId="3C75FE22">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w:t>
                  </w:r>
                </w:p>
              </w:tc>
              <w:tc>
                <w:tcPr>
                  <w:tcW w:w="458" w:type="pct"/>
                  <w:vAlign w:val="center"/>
                </w:tcPr>
                <w:p w14:paraId="66462D35">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5C04D0B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0" w:type="dxa"/>
                  <w:bottom w:w="0" w:type="dxa"/>
                  <w:right w:w="0" w:type="dxa"/>
                </w:tblCellMar>
              </w:tblPrEx>
              <w:trPr>
                <w:cantSplit/>
                <w:trHeight w:val="75" w:hRule="atLeast"/>
                <w:jc w:val="center"/>
              </w:trPr>
              <w:tc>
                <w:tcPr>
                  <w:tcW w:w="240" w:type="pct"/>
                  <w:vMerge w:val="continue"/>
                  <w:tcBorders>
                    <w:bottom w:val="single" w:color="auto" w:sz="12" w:space="0"/>
                  </w:tcBorders>
                  <w:vAlign w:val="center"/>
                </w:tcPr>
                <w:p w14:paraId="72ECAF40">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3" w:type="pct"/>
                  <w:gridSpan w:val="2"/>
                  <w:tcBorders>
                    <w:bottom w:val="single" w:color="auto" w:sz="12" w:space="0"/>
                  </w:tcBorders>
                  <w:vAlign w:val="center"/>
                </w:tcPr>
                <w:p w14:paraId="5EF18710">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生活垃圾</w:t>
                  </w:r>
                </w:p>
              </w:tc>
              <w:tc>
                <w:tcPr>
                  <w:tcW w:w="645" w:type="pct"/>
                  <w:tcBorders>
                    <w:bottom w:val="single" w:color="auto" w:sz="12" w:space="0"/>
                  </w:tcBorders>
                  <w:vAlign w:val="center"/>
                </w:tcPr>
                <w:p w14:paraId="33219DB2">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94" w:type="pct"/>
                  <w:tcBorders>
                    <w:bottom w:val="single" w:color="auto" w:sz="12" w:space="0"/>
                    <w:right w:val="single" w:color="auto" w:sz="4" w:space="0"/>
                  </w:tcBorders>
                  <w:vAlign w:val="center"/>
                </w:tcPr>
                <w:p w14:paraId="7344F790">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620" w:type="pct"/>
                  <w:tcBorders>
                    <w:left w:val="single" w:color="auto" w:sz="4" w:space="0"/>
                    <w:bottom w:val="single" w:color="auto" w:sz="12" w:space="0"/>
                  </w:tcBorders>
                  <w:vAlign w:val="center"/>
                </w:tcPr>
                <w:p w14:paraId="7E08E9E4">
                  <w:pPr>
                    <w:adjustRightIn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p>
              </w:tc>
              <w:tc>
                <w:tcPr>
                  <w:tcW w:w="701" w:type="pct"/>
                  <w:tcBorders>
                    <w:bottom w:val="single" w:color="auto" w:sz="12" w:space="0"/>
                  </w:tcBorders>
                  <w:vAlign w:val="center"/>
                </w:tcPr>
                <w:p w14:paraId="660AA0DF">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tcBorders>
                    <w:bottom w:val="single" w:color="auto" w:sz="12" w:space="0"/>
                  </w:tcBorders>
                  <w:vAlign w:val="center"/>
                </w:tcPr>
                <w:p w14:paraId="6B84ADD0">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0</w:t>
                  </w:r>
                </w:p>
              </w:tc>
              <w:tc>
                <w:tcPr>
                  <w:tcW w:w="453" w:type="pct"/>
                  <w:tcBorders>
                    <w:bottom w:val="single" w:color="auto" w:sz="12" w:space="0"/>
                    <w:right w:val="single" w:color="auto" w:sz="4" w:space="0"/>
                  </w:tcBorders>
                  <w:vAlign w:val="center"/>
                </w:tcPr>
                <w:p w14:paraId="1992D6E6">
                  <w:pPr>
                    <w:pStyle w:val="70"/>
                    <w:adjustRightInd w:val="0"/>
                    <w:snapToGrid w:val="0"/>
                    <w:spacing w:before="0" w:beforeAutospacing="0" w:after="0" w:afterAutospacing="0" w:line="240" w:lineRule="exact"/>
                    <w:rPr>
                      <w:rFonts w:hint="default" w:ascii="Times New Roman" w:hAnsi="Times New Roman" w:eastAsia="宋体" w:cs="Times New Roman"/>
                      <w:color w:val="000000" w:themeColor="text1"/>
                      <w:kern w:val="2"/>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14:textFill>
                        <w14:solidFill>
                          <w14:schemeClr w14:val="tx1"/>
                        </w14:solidFill>
                      </w14:textFill>
                    </w:rPr>
                    <w:t>/</w:t>
                  </w:r>
                </w:p>
              </w:tc>
              <w:tc>
                <w:tcPr>
                  <w:tcW w:w="458" w:type="pct"/>
                  <w:tcBorders>
                    <w:bottom w:val="single" w:color="auto" w:sz="12" w:space="0"/>
                  </w:tcBorders>
                  <w:vAlign w:val="center"/>
                </w:tcPr>
                <w:p w14:paraId="69EA2B78">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bl>
          <w:p w14:paraId="002CBC88">
            <w:pPr>
              <w:pStyle w:val="2"/>
              <w:tabs>
                <w:tab w:val="left" w:pos="726"/>
              </w:tabs>
              <w:spacing w:before="0" w:after="0" w:line="440" w:lineRule="exact"/>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16862016">
            <w:pPr>
              <w:pStyle w:val="2"/>
              <w:tabs>
                <w:tab w:val="left" w:pos="726"/>
              </w:tabs>
              <w:spacing w:before="0" w:after="0" w:line="440" w:lineRule="exact"/>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0F0F5FDC">
            <w:pPr>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38C3E93A">
            <w:pPr>
              <w:pStyle w:val="2"/>
              <w:tabs>
                <w:tab w:val="left" w:pos="726"/>
              </w:tabs>
              <w:spacing w:before="0" w:after="0" w:line="440" w:lineRule="exact"/>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p>
          <w:p w14:paraId="6CE6BF69">
            <w:pPr>
              <w:pStyle w:val="2"/>
              <w:tabs>
                <w:tab w:val="left" w:pos="726"/>
              </w:tabs>
              <w:spacing w:before="0" w:after="0" w:line="440" w:lineRule="exact"/>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总量</w:t>
            </w:r>
            <w:r>
              <w:rPr>
                <w:rFonts w:hint="default" w:ascii="Times New Roman" w:hAnsi="Times New Roman" w:eastAsia="宋体" w:cs="Times New Roman"/>
                <w:color w:val="000000" w:themeColor="text1"/>
                <w:sz w:val="21"/>
                <w:szCs w:val="21"/>
                <w:highlight w:val="none"/>
                <w14:textFill>
                  <w14:solidFill>
                    <w14:schemeClr w14:val="tx1"/>
                  </w14:solidFill>
                </w14:textFill>
              </w:rPr>
              <w:t>控制途径分析：</w:t>
            </w:r>
          </w:p>
          <w:p w14:paraId="42710CB2">
            <w:pPr>
              <w:adjustRightInd w:val="0"/>
              <w:snapToGrid w:val="0"/>
              <w:spacing w:line="440" w:lineRule="exact"/>
              <w:ind w:firstLine="561"/>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（1）水污染物排放总量控制途径分析</w:t>
            </w:r>
          </w:p>
          <w:p w14:paraId="699EC67D">
            <w:pPr>
              <w:pStyle w:val="72"/>
              <w:adjustRightInd w:val="0"/>
              <w:snapToGrid w:val="0"/>
              <w:spacing w:line="440" w:lineRule="exact"/>
              <w:ind w:firstLine="561"/>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本次</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21"/>
                <w:szCs w:val="21"/>
                <w:highlight w:val="none"/>
                <w14:textFill>
                  <w14:solidFill>
                    <w14:schemeClr w14:val="tx1"/>
                  </w14:solidFill>
                </w14:textFill>
              </w:rPr>
              <w:t>不新增生活污水排放量，生活污水主要污染物排放总量指标不需要审核区域平衡方案。</w:t>
            </w:r>
          </w:p>
          <w:p w14:paraId="55D83140">
            <w:pPr>
              <w:pStyle w:val="72"/>
              <w:adjustRightInd w:val="0"/>
              <w:snapToGrid w:val="0"/>
              <w:spacing w:line="440" w:lineRule="exact"/>
              <w:ind w:firstLine="561"/>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因本项目100t/h燃气锅炉为备用锅炉，仅在现有热电联产机组检修、停运时应急启动。本项目建成后现有热电联产机组因需要维修或临时停运，其运行时间将缩短约500h/a，故热电联产机组对应的废水污染物产生量将会减少，全厂</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废水排放总量</w:t>
            </w:r>
            <w:r>
              <w:rPr>
                <w:rFonts w:hint="default" w:ascii="Times New Roman" w:hAnsi="Times New Roman" w:eastAsia="宋体" w:cs="Times New Roman"/>
                <w:color w:val="000000" w:themeColor="text1"/>
                <w:sz w:val="21"/>
                <w:szCs w:val="21"/>
                <w:highlight w:val="none"/>
                <w14:textFill>
                  <w14:solidFill>
                    <w14:schemeClr w14:val="tx1"/>
                  </w14:solidFill>
                </w14:textFill>
              </w:rPr>
              <w:t>可在现有项目指标中平衡，无需新增申请。</w:t>
            </w:r>
          </w:p>
          <w:p w14:paraId="23E6D3C9">
            <w:pPr>
              <w:adjustRightInd w:val="0"/>
              <w:snapToGrid w:val="0"/>
              <w:spacing w:line="440" w:lineRule="exact"/>
              <w:ind w:firstLine="561"/>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（2）大气污染物排放总量控制途径分析</w:t>
            </w:r>
          </w:p>
          <w:p w14:paraId="7CE52F4B">
            <w:pPr>
              <w:pStyle w:val="72"/>
              <w:adjustRightInd w:val="0"/>
              <w:snapToGrid w:val="0"/>
              <w:spacing w:line="440" w:lineRule="exact"/>
              <w:ind w:left="0" w:leftChars="0" w:firstLine="420" w:firstLineChars="200"/>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cs="Times New Roman"/>
                <w:color w:val="000000" w:themeColor="text1"/>
                <w:sz w:val="21"/>
                <w:szCs w:val="21"/>
                <w:highlight w:val="none"/>
                <w:lang w:val="en-US" w:eastAsia="zh-CN"/>
                <w14:textFill>
                  <w14:solidFill>
                    <w14:schemeClr w14:val="tx1"/>
                  </w14:solidFill>
                </w14:textFill>
              </w:rPr>
              <w:t>因本项目100t/h燃气锅炉为备用锅炉，仅在现有热电联产机组检修、停运时应急启动。本项目建成后现有热电联产机组因需要维修或临时停运，其运行时间将缩短约500h/a，故热电联产机组对应的废气污染物产生量将会减少，全厂废气</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排放总量</w:t>
            </w:r>
            <w:r>
              <w:rPr>
                <w:rFonts w:hint="default" w:ascii="Times New Roman" w:hAnsi="Times New Roman" w:eastAsia="宋体" w:cs="Times New Roman"/>
                <w:color w:val="000000" w:themeColor="text1"/>
                <w:sz w:val="21"/>
                <w:szCs w:val="21"/>
                <w:highlight w:val="none"/>
                <w14:textFill>
                  <w14:solidFill>
                    <w14:schemeClr w14:val="tx1"/>
                  </w14:solidFill>
                </w14:textFill>
              </w:rPr>
              <w:t>可在现有项目指标中平衡，无需新增申请。</w:t>
            </w:r>
          </w:p>
          <w:p w14:paraId="24AAA2C4">
            <w:pPr>
              <w:pStyle w:val="72"/>
              <w:adjustRightInd w:val="0"/>
              <w:snapToGrid w:val="0"/>
              <w:spacing w:line="440" w:lineRule="exact"/>
              <w:ind w:firstLine="561"/>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（3）固体废弃物排放总量</w:t>
            </w:r>
          </w:p>
          <w:p w14:paraId="335A914B">
            <w:pPr>
              <w:adjustRightInd w:val="0"/>
              <w:snapToGrid w:val="0"/>
              <w:spacing w:line="480" w:lineRule="exact"/>
              <w:ind w:firstLine="420"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本次</w:t>
            </w:r>
            <w:r>
              <w:rPr>
                <w:rFonts w:hint="eastAsia" w:cs="Times New Roman"/>
                <w:color w:val="000000" w:themeColor="text1"/>
                <w:sz w:val="21"/>
                <w:szCs w:val="21"/>
                <w:highlight w:val="none"/>
                <w:lang w:val="en-US" w:eastAsia="zh-CN"/>
                <w14:textFill>
                  <w14:solidFill>
                    <w14:schemeClr w14:val="tx1"/>
                  </w14:solidFill>
                </w14:textFill>
              </w:rPr>
              <w:t>改建</w:t>
            </w:r>
            <w:r>
              <w:rPr>
                <w:rFonts w:hint="default" w:ascii="Times New Roman" w:hAnsi="Times New Roman" w:eastAsia="宋体" w:cs="Times New Roman"/>
                <w:color w:val="000000" w:themeColor="text1"/>
                <w:sz w:val="21"/>
                <w:szCs w:val="21"/>
                <w:highlight w:val="none"/>
                <w14:textFill>
                  <w14:solidFill>
                    <w14:schemeClr w14:val="tx1"/>
                  </w14:solidFill>
                </w14:textFill>
              </w:rPr>
              <w:t>不新增固体废弃物的</w:t>
            </w:r>
            <w:r>
              <w:rPr>
                <w:rFonts w:hint="eastAsia" w:cs="Times New Roman"/>
                <w:color w:val="000000" w:themeColor="text1"/>
                <w:sz w:val="21"/>
                <w:szCs w:val="21"/>
                <w:highlight w:val="none"/>
                <w:lang w:val="en-US" w:eastAsia="zh-CN"/>
                <w14:textFill>
                  <w14:solidFill>
                    <w14:schemeClr w14:val="tx1"/>
                  </w14:solidFill>
                </w14:textFill>
              </w:rPr>
              <w:t>排放</w:t>
            </w:r>
            <w:r>
              <w:rPr>
                <w:rFonts w:hint="default" w:ascii="Times New Roman" w:hAnsi="Times New Roman" w:eastAsia="宋体" w:cs="Times New Roman"/>
                <w:color w:val="000000" w:themeColor="text1"/>
                <w:sz w:val="21"/>
                <w:szCs w:val="21"/>
                <w:highlight w:val="none"/>
                <w14:textFill>
                  <w14:solidFill>
                    <w14:schemeClr w14:val="tx1"/>
                  </w14:solidFill>
                </w14:textFill>
              </w:rPr>
              <w:t>，全厂固体废弃物零排放。</w:t>
            </w:r>
          </w:p>
          <w:p w14:paraId="3F4DE683">
            <w:pPr>
              <w:pStyle w:val="2"/>
              <w:rPr>
                <w:rFonts w:hint="default" w:ascii="Times New Roman" w:hAnsi="Times New Roman" w:eastAsia="宋体" w:cs="Times New Roman"/>
                <w:color w:val="000000" w:themeColor="text1"/>
                <w:highlight w:val="none"/>
                <w14:textFill>
                  <w14:solidFill>
                    <w14:schemeClr w14:val="tx1"/>
                  </w14:solidFill>
                </w14:textFill>
              </w:rPr>
            </w:pPr>
          </w:p>
        </w:tc>
      </w:tr>
    </w:tbl>
    <w:p w14:paraId="15A43A17">
      <w:pPr>
        <w:pStyle w:val="33"/>
        <w:outlineLvl w:val="0"/>
        <w:rPr>
          <w:rFonts w:hint="eastAsia" w:ascii="Times New Roman" w:hAnsi="Times New Roman" w:eastAsia="宋体" w:cs="Times New Roman"/>
          <w:snapToGrid w:val="0"/>
          <w:color w:val="000000" w:themeColor="text1"/>
          <w:sz w:val="30"/>
          <w:szCs w:val="30"/>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sz w:val="36"/>
          <w:szCs w:val="36"/>
          <w:highlight w:val="none"/>
          <w14:textFill>
            <w14:solidFill>
              <w14:schemeClr w14:val="tx1"/>
            </w14:solidFill>
          </w14:textFill>
        </w:rPr>
        <w:br w:type="page"/>
      </w: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四、主要环境影响和保护措施</w:t>
      </w:r>
    </w:p>
    <w:tbl>
      <w:tblPr>
        <w:tblStyle w:val="36"/>
        <w:tblW w:w="93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6"/>
        <w:gridCol w:w="8916"/>
      </w:tblGrid>
      <w:tr w14:paraId="63D63B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16" w:type="dxa"/>
            <w:tcMar>
              <w:left w:w="28" w:type="dxa"/>
              <w:right w:w="28" w:type="dxa"/>
            </w:tcMar>
            <w:vAlign w:val="center"/>
          </w:tcPr>
          <w:p w14:paraId="1480B06F">
            <w:pPr>
              <w:pStyle w:val="33"/>
              <w:adjustRightInd w:val="0"/>
              <w:snapToGrid w:val="0"/>
              <w:spacing w:before="0" w:beforeAutospacing="0" w:after="0" w:afterAutospacing="0"/>
              <w:jc w:val="center"/>
              <w:rPr>
                <w:rFonts w:hint="default" w:ascii="Times New Roman" w:hAnsi="Times New Roman" w:eastAsia="宋体" w:cs="Times New Roman"/>
                <w:bCs/>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施工期环境保护措施</w:t>
            </w:r>
          </w:p>
        </w:tc>
        <w:tc>
          <w:tcPr>
            <w:tcW w:w="8916" w:type="dxa"/>
            <w:vAlign w:val="center"/>
          </w:tcPr>
          <w:p w14:paraId="5133373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燃气锅炉房位于现有厂区内，施工期包括锅炉房土建工程及辅助设施的安装、调试和试运转以及建筑材料运输等。在建设施工期间将不可避免地产生废气噪声、固体废弃物等，对周围环境产生一定影响。施工期的环境影响一般会随着施工工程的结束而消失，建设施工单位应积极采取环境保护措施，使施工期对环境的影响降低到最低限度。</w:t>
            </w:r>
          </w:p>
          <w:p w14:paraId="53F39D3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1、大气环境影响分析及防治措施</w:t>
            </w:r>
          </w:p>
          <w:p w14:paraId="30780C8B">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施工期对环境空气的影响主要是施工扬尘污染及运输车辆尾气污染。施工期扬尘主要来自建筑材料(</w:t>
            </w:r>
            <w:r>
              <w:rPr>
                <w:rFonts w:hint="eastAsia" w:cs="Times New Roman"/>
                <w:color w:val="000000" w:themeColor="text1"/>
                <w:sz w:val="21"/>
                <w:szCs w:val="21"/>
                <w:highlight w:val="none"/>
                <w:lang w:val="en-US" w:eastAsia="zh-CN"/>
                <w14:textFill>
                  <w14:solidFill>
                    <w14:schemeClr w14:val="tx1"/>
                  </w14:solidFill>
                </w14:textFill>
              </w:rPr>
              <w:t>水泥、</w:t>
            </w:r>
            <w:r>
              <w:rPr>
                <w:rFonts w:hint="default" w:ascii="Times New Roman" w:hAnsi="Times New Roman" w:eastAsia="宋体" w:cs="Times New Roman"/>
                <w:color w:val="000000" w:themeColor="text1"/>
                <w:sz w:val="21"/>
                <w:szCs w:val="21"/>
                <w:highlight w:val="none"/>
                <w14:textFill>
                  <w14:solidFill>
                    <w14:schemeClr w14:val="tx1"/>
                  </w14:solidFill>
                </w14:textFill>
              </w:rPr>
              <w:t>白灰、沙子、石子、砖等) 的现场搬运及堆放扬尘</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施工垃圾的清理及堆放扬尘</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人来车往造成的现场道路扬尘等。</w:t>
            </w:r>
          </w:p>
          <w:p w14:paraId="2D9D301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项目应采取积极的防尘措施，尽量封闭施工现场，既可有效地防止粉尘及扬尘污染，又可起到隔声作用</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施工用混凝土要采用外购商用混凝土，施工现场不得设置混凝土搅拌站</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施工所用粉状材料，在运输时应对运输车辆加盖蓬布，减速慢行</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施工过程中所用建筑材料，应设置固定堆放场，特别是水泥、白灰等在堆放过程中应尽量用苫布盖好，防止二次扬尘污染，不得随意堆放。施工场地保持一定湿度，定时洒水</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防止粉尘和二次扬尘污染施工场地周围环境空气质量。</w:t>
            </w:r>
          </w:p>
          <w:p w14:paraId="1D0FEB9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本项目土建工程量及运输量相对较小，且厂区内通风环境良好，采取以上措施后施工期大气环境影响范围较小。</w:t>
            </w:r>
          </w:p>
          <w:p w14:paraId="4A01BF2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2、水环境影响分析及防治措施</w:t>
            </w:r>
          </w:p>
          <w:p w14:paraId="1AD2702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在工程建设中，产生的主要废水为施工废水及施工人员的生活污水。施工期的生立废水主要是施工泥浆水、施工机械设备和运输车辆的清洗废水。施工废水收集后经厂内预处理装置处理后、生活污水经厂内化粪池处理后接入平望</w:t>
            </w:r>
            <w:r>
              <w:rPr>
                <w:rFonts w:hint="eastAsia" w:cs="Times New Roman"/>
                <w:color w:val="000000" w:themeColor="text1"/>
                <w:sz w:val="21"/>
                <w:szCs w:val="21"/>
                <w:highlight w:val="none"/>
                <w:lang w:val="en-US" w:eastAsia="zh-CN"/>
                <w14:textFill>
                  <w14:solidFill>
                    <w14:schemeClr w14:val="tx1"/>
                  </w14:solidFill>
                </w14:textFill>
              </w:rPr>
              <w:t>生活污水处理有限公司进行</w:t>
            </w:r>
            <w:r>
              <w:rPr>
                <w:rFonts w:hint="default" w:ascii="Times New Roman" w:hAnsi="Times New Roman" w:eastAsia="宋体" w:cs="Times New Roman"/>
                <w:color w:val="000000" w:themeColor="text1"/>
                <w:sz w:val="21"/>
                <w:szCs w:val="21"/>
                <w:highlight w:val="none"/>
                <w14:textFill>
                  <w14:solidFill>
                    <w14:schemeClr w14:val="tx1"/>
                  </w14:solidFill>
                </w14:textFill>
              </w:rPr>
              <w:t>处理。对周围水环境影响较小。</w:t>
            </w:r>
          </w:p>
          <w:p w14:paraId="14C7B01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3、声环境的影响分析及防治措施</w:t>
            </w:r>
          </w:p>
          <w:p w14:paraId="6C5D4D9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施工过程中材料的运输、基础工程等所用车辆及各种施工机械发出的噪声将对周围的声环境立生影响。为减少工程施工对评价区域声环境的影响，对于施工机械噪声在施工设备选型上，应选用正规厂家、噪声较低的环保型设备，并加强施工现场管理</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保证现场设备安装质量，确保施工设备正常运行。对高噪声的施工设备，必须封闭使用或四周加设隔声屏障，降低其使用时产生的噪声对周围环境的影响。严禁在22:00-6:00时间段内施工。车辆的运行，会引起公路沿线噪声级的增加。因此，应加强对运输车辆的管理，尽量压缩汽车数量和行车密度，控制汽车鸣笛。设备调试及试运转尽量在白天进行。</w:t>
            </w:r>
          </w:p>
          <w:p w14:paraId="4A4FF0F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4、固体废物的管理和利用</w:t>
            </w:r>
          </w:p>
          <w:p w14:paraId="49091D72">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本项目施工垃圾主要为建筑垃圾、设备的废包装及废零件，如不妥善处理，对环境也会产生一定的影响。应对现场进行及时清理，及时清运垃圾，加以利用，禁止乱堆乱扔，防止产生二次污染。</w:t>
            </w:r>
          </w:p>
          <w:p w14:paraId="3037EE20">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64A28CCB">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3F3B09E5">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77C07273">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38BC4D92">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18B18F18">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60FBB95A">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10DA47BB">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41CA502B">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0E51C0F3">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161D5649">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769DB1D8">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13C23A91">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7CE68AE3">
            <w:pPr>
              <w:pStyle w:val="16"/>
              <w:spacing w:before="0" w:after="0" w:line="440" w:lineRule="exact"/>
              <w:ind w:firstLine="420" w:firstLineChars="200"/>
              <w:rPr>
                <w:rFonts w:hint="default" w:ascii="Times New Roman" w:hAnsi="Times New Roman" w:eastAsia="宋体" w:cs="Times New Roman"/>
                <w:color w:val="000000" w:themeColor="text1"/>
                <w:sz w:val="21"/>
                <w:szCs w:val="21"/>
                <w:highlight w:val="none"/>
                <w:lang w:val="zh-CN"/>
                <w14:textFill>
                  <w14:solidFill>
                    <w14:schemeClr w14:val="tx1"/>
                  </w14:solidFill>
                </w14:textFill>
              </w:rPr>
            </w:pPr>
          </w:p>
          <w:p w14:paraId="520773B0">
            <w:pPr>
              <w:pStyle w:val="16"/>
              <w:spacing w:before="0" w:after="0" w:line="440" w:lineRule="exact"/>
              <w:ind w:firstLine="320" w:firstLineChars="200"/>
              <w:rPr>
                <w:rFonts w:hint="default" w:ascii="Times New Roman" w:hAnsi="Times New Roman" w:eastAsia="宋体" w:cs="Times New Roman"/>
                <w:bCs/>
                <w:color w:val="000000" w:themeColor="text1"/>
                <w:spacing w:val="-10"/>
                <w:szCs w:val="21"/>
                <w:highlight w:val="none"/>
                <w14:textFill>
                  <w14:solidFill>
                    <w14:schemeClr w14:val="tx1"/>
                  </w14:solidFill>
                </w14:textFill>
              </w:rPr>
            </w:pPr>
          </w:p>
          <w:p w14:paraId="53BB2494">
            <w:pPr>
              <w:pStyle w:val="16"/>
              <w:spacing w:before="0" w:after="0" w:line="440" w:lineRule="exact"/>
              <w:ind w:firstLine="320" w:firstLineChars="200"/>
              <w:rPr>
                <w:rFonts w:hint="default" w:ascii="Times New Roman" w:hAnsi="Times New Roman" w:eastAsia="宋体" w:cs="Times New Roman"/>
                <w:bCs/>
                <w:color w:val="000000" w:themeColor="text1"/>
                <w:spacing w:val="-10"/>
                <w:szCs w:val="21"/>
                <w:highlight w:val="none"/>
                <w14:textFill>
                  <w14:solidFill>
                    <w14:schemeClr w14:val="tx1"/>
                  </w14:solidFill>
                </w14:textFill>
              </w:rPr>
            </w:pPr>
          </w:p>
          <w:p w14:paraId="0758995B">
            <w:pPr>
              <w:pStyle w:val="16"/>
              <w:spacing w:before="0" w:after="0" w:line="440" w:lineRule="exact"/>
              <w:ind w:firstLine="320" w:firstLineChars="200"/>
              <w:rPr>
                <w:rFonts w:hint="default" w:ascii="Times New Roman" w:hAnsi="Times New Roman" w:eastAsia="宋体" w:cs="Times New Roman"/>
                <w:bCs/>
                <w:color w:val="000000" w:themeColor="text1"/>
                <w:spacing w:val="-10"/>
                <w:szCs w:val="21"/>
                <w:highlight w:val="none"/>
                <w14:textFill>
                  <w14:solidFill>
                    <w14:schemeClr w14:val="tx1"/>
                  </w14:solidFill>
                </w14:textFill>
              </w:rPr>
            </w:pPr>
          </w:p>
          <w:p w14:paraId="5167B41E">
            <w:pPr>
              <w:pStyle w:val="16"/>
              <w:spacing w:before="0" w:after="0" w:line="440" w:lineRule="exact"/>
              <w:rPr>
                <w:rFonts w:hint="default" w:ascii="Times New Roman" w:hAnsi="Times New Roman" w:eastAsia="宋体" w:cs="Times New Roman"/>
                <w:bCs/>
                <w:color w:val="000000" w:themeColor="text1"/>
                <w:spacing w:val="-10"/>
                <w:szCs w:val="21"/>
                <w:highlight w:val="none"/>
                <w14:textFill>
                  <w14:solidFill>
                    <w14:schemeClr w14:val="tx1"/>
                  </w14:solidFill>
                </w14:textFill>
              </w:rPr>
            </w:pPr>
          </w:p>
        </w:tc>
      </w:tr>
      <w:tr w14:paraId="144ED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5" w:hRule="atLeast"/>
          <w:jc w:val="center"/>
        </w:trPr>
        <w:tc>
          <w:tcPr>
            <w:tcW w:w="416" w:type="dxa"/>
            <w:tcMar>
              <w:left w:w="28" w:type="dxa"/>
              <w:right w:w="28" w:type="dxa"/>
            </w:tcMar>
            <w:vAlign w:val="center"/>
          </w:tcPr>
          <w:p w14:paraId="18094271">
            <w:pPr>
              <w:adjustRightInd w:val="0"/>
              <w:snapToGrid w:val="0"/>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运营期环境影响和保护措施</w:t>
            </w:r>
          </w:p>
        </w:tc>
        <w:tc>
          <w:tcPr>
            <w:tcW w:w="8916" w:type="dxa"/>
            <w:vAlign w:val="center"/>
          </w:tcPr>
          <w:p w14:paraId="4BF42D18">
            <w:pPr>
              <w:pStyle w:val="2"/>
              <w:spacing w:before="0" w:after="0" w:line="440" w:lineRule="exact"/>
              <w:ind w:firstLine="422" w:firstLineChars="20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bookmarkStart w:id="5" w:name="_Hlk92959174"/>
            <w:r>
              <w:rPr>
                <w:rFonts w:hint="default" w:ascii="Times New Roman" w:hAnsi="Times New Roman" w:eastAsia="宋体" w:cs="Times New Roman"/>
                <w:color w:val="000000" w:themeColor="text1"/>
                <w:sz w:val="21"/>
                <w:szCs w:val="21"/>
                <w:highlight w:val="none"/>
                <w14:textFill>
                  <w14:solidFill>
                    <w14:schemeClr w14:val="tx1"/>
                  </w14:solidFill>
                </w14:textFill>
              </w:rPr>
              <w:t>废气影响分析</w:t>
            </w:r>
          </w:p>
          <w:bookmarkEnd w:id="5"/>
          <w:p w14:paraId="3AB1D814">
            <w:pPr>
              <w:numPr>
                <w:ilvl w:val="0"/>
                <w:numId w:val="8"/>
              </w:numPr>
              <w:spacing w:line="480" w:lineRule="exac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污染物产排情况</w:t>
            </w:r>
          </w:p>
          <w:p w14:paraId="3BDB1E4B">
            <w:pPr>
              <w:numPr>
                <w:ilvl w:val="1"/>
                <w:numId w:val="8"/>
              </w:numPr>
              <w:spacing w:line="480" w:lineRule="exact"/>
              <w:ind w:left="0"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污染物产生环节和污染物种类</w:t>
            </w:r>
          </w:p>
          <w:p w14:paraId="769E4F2B">
            <w:pPr>
              <w:spacing w:line="480" w:lineRule="exact"/>
              <w:ind w:left="-107" w:leftChars="-51"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本期项目大气污染物产生环节主要为天然气锅炉燃烧产生的颗粒物、二氧化硫和氮氧化物。参照《排污许可证申请与核发技术规范 锅炉》（HJ593-2018）及国家和地方污染物排放标准，天然气燃烧废气污染指标以二氧化硫、氮氧化物、颗粒物计。</w:t>
            </w:r>
          </w:p>
          <w:p w14:paraId="41934ECC">
            <w:pPr>
              <w:spacing w:line="480" w:lineRule="exact"/>
              <w:ind w:left="-107" w:leftChars="-51"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②污染物产生量及排放方式</w:t>
            </w:r>
          </w:p>
          <w:p w14:paraId="761F376E">
            <w:pPr>
              <w:adjustRightInd w:val="0"/>
              <w:snapToGrid w:val="0"/>
              <w:spacing w:line="40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锅炉采用天然气为燃料，对</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除盐</w:t>
            </w:r>
            <w:r>
              <w:rPr>
                <w:rFonts w:hint="default" w:ascii="Times New Roman" w:hAnsi="Times New Roman" w:eastAsia="宋体" w:cs="Times New Roman"/>
                <w:bCs/>
                <w:color w:val="000000" w:themeColor="text1"/>
                <w:sz w:val="21"/>
                <w:szCs w:val="21"/>
                <w:highlight w:val="none"/>
                <w14:textFill>
                  <w14:solidFill>
                    <w14:schemeClr w14:val="tx1"/>
                  </w14:solidFill>
                </w14:textFill>
              </w:rPr>
              <w:t>过后的水进行加热从而产生蒸汽。</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100t/h燃气锅炉年工作2160h（3个月），年使用天然气1914.5万立方米，</w:t>
            </w:r>
            <w:r>
              <w:rPr>
                <w:rFonts w:hint="default" w:ascii="Times New Roman" w:hAnsi="Times New Roman" w:eastAsia="宋体" w:cs="Times New Roman"/>
                <w:bCs/>
                <w:color w:val="000000" w:themeColor="text1"/>
                <w:sz w:val="21"/>
                <w:szCs w:val="21"/>
                <w:highlight w:val="none"/>
                <w14:textFill>
                  <w14:solidFill>
                    <w14:schemeClr w14:val="tx1"/>
                  </w14:solidFill>
                </w14:textFill>
              </w:rPr>
              <w:t>该过程会产生天然气燃烧废气：二氧化硫、氮氧化物和颗粒物。参照</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《排放源统计调查产排污核算方法和系数手册》（公告2021年第24号）</w:t>
            </w:r>
            <w:r>
              <w:rPr>
                <w:rFonts w:hint="default" w:ascii="Times New Roman" w:hAnsi="Times New Roman" w:eastAsia="宋体" w:cs="Times New Roman"/>
                <w:bCs/>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4430工业锅炉（热力生产和供应行业）产污系数表-燃气工业锅炉，</w:t>
            </w:r>
            <w:r>
              <w:rPr>
                <w:rFonts w:hint="default" w:ascii="Times New Roman" w:hAnsi="Times New Roman" w:eastAsia="宋体" w:cs="Times New Roman"/>
                <w:bCs/>
                <w:color w:val="000000" w:themeColor="text1"/>
                <w:sz w:val="21"/>
                <w:szCs w:val="21"/>
                <w:highlight w:val="none"/>
                <w14:textFill>
                  <w14:solidFill>
                    <w14:schemeClr w14:val="tx1"/>
                  </w14:solidFill>
                </w14:textFill>
              </w:rPr>
              <w:t>采用天然气作为燃料产生蒸汽的，工业废气量产污系数为107753标</w:t>
            </w:r>
            <w:r>
              <w:rPr>
                <w:rFonts w:hint="default" w:ascii="Times New Roman" w:hAnsi="Times New Roman" w:eastAsia="宋体" w:cs="Times New Roman"/>
                <w:color w:val="000000" w:themeColor="text1"/>
                <w:sz w:val="21"/>
                <w:szCs w:val="21"/>
                <w:highlight w:val="none"/>
                <w14:textFill>
                  <w14:solidFill>
                    <w14:schemeClr w14:val="tx1"/>
                  </w14:solidFill>
                </w14:textFill>
              </w:rPr>
              <w:t>立方米/万立方米-原料，二氧化硫产污系数为0.02S千克/万立方米-原料（S为收到基硫分，天然气燃料中总硫（以硫计）含量为60mg/m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则S=60），氮氧化物产污系数为3.03千克/万立方米-原料（低氮燃烧-国际领先）。参照《环境保护实用数据手册》（机械工业出版社）p73页表2-69，颗粒物产污系数范围为0.8-2.4千克/万立方米原材料，本次系数取值为1千克/万立方米-原料。</w:t>
            </w:r>
          </w:p>
          <w:p w14:paraId="61F7F2F2">
            <w:pPr>
              <w:adjustRightInd w:val="0"/>
              <w:snapToGrid w:val="0"/>
              <w:spacing w:line="400" w:lineRule="exact"/>
              <w:ind w:firstLine="420" w:firstLineChars="200"/>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100t/h燃气锅炉</w:t>
            </w:r>
            <w:r>
              <w:rPr>
                <w:rFonts w:hint="default" w:ascii="Times New Roman" w:hAnsi="Times New Roman" w:eastAsia="宋体" w:cs="Times New Roman"/>
                <w:color w:val="000000" w:themeColor="text1"/>
                <w:sz w:val="21"/>
                <w:szCs w:val="21"/>
                <w:highlight w:val="none"/>
                <w14:textFill>
                  <w14:solidFill>
                    <w14:schemeClr w14:val="tx1"/>
                  </w14:solidFill>
                </w14:textFill>
              </w:rPr>
              <w:t>天然气燃烧产生的废气由1根</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 w:val="21"/>
                <w:szCs w:val="21"/>
                <w:highlight w:val="none"/>
                <w14:textFill>
                  <w14:solidFill>
                    <w14:schemeClr w14:val="tx1"/>
                  </w14:solidFill>
                </w14:textFill>
              </w:rPr>
              <w:t>m高（</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sz w:val="21"/>
                <w:szCs w:val="21"/>
                <w:highlight w:val="none"/>
                <w14:textFill>
                  <w14:solidFill>
                    <w14:schemeClr w14:val="tx1"/>
                  </w14:solidFill>
                </w14:textFill>
              </w:rPr>
              <w:t>）排气筒排放。</w:t>
            </w:r>
          </w:p>
          <w:p w14:paraId="2A9E316E">
            <w:pPr>
              <w:adjustRightInd w:val="0"/>
              <w:snapToGrid w:val="0"/>
              <w:spacing w:line="480" w:lineRule="exact"/>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14:textFill>
                  <w14:solidFill>
                    <w14:schemeClr w14:val="tx1"/>
                  </w14:solidFill>
                </w14:textFill>
              </w:rPr>
              <w:t>天然气燃烧时产生的废气情况见表4-</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p w14:paraId="01E8B813">
            <w:pPr>
              <w:pStyle w:val="11"/>
              <w:spacing w:line="480" w:lineRule="exact"/>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表4-</w:t>
            </w:r>
            <w:r>
              <w:rPr>
                <w:rFonts w:hint="eastAsia"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100t/h燃气锅炉</w:t>
            </w:r>
            <w:r>
              <w:rPr>
                <w:rFonts w:hint="default" w:ascii="Times New Roman" w:hAnsi="Times New Roman" w:eastAsia="宋体" w:cs="Times New Roman"/>
                <w:color w:val="000000" w:themeColor="text1"/>
                <w:sz w:val="21"/>
                <w:szCs w:val="21"/>
                <w:highlight w:val="none"/>
                <w14:textFill>
                  <w14:solidFill>
                    <w14:schemeClr w14:val="tx1"/>
                  </w14:solidFill>
                </w14:textFill>
              </w:rPr>
              <w:t>天然气燃烧废气产生情况表</w:t>
            </w:r>
          </w:p>
          <w:tbl>
            <w:tblPr>
              <w:tblStyle w:val="36"/>
              <w:tblW w:w="882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67"/>
              <w:gridCol w:w="825"/>
              <w:gridCol w:w="1456"/>
              <w:gridCol w:w="666"/>
              <w:gridCol w:w="889"/>
              <w:gridCol w:w="809"/>
              <w:gridCol w:w="745"/>
              <w:gridCol w:w="844"/>
              <w:gridCol w:w="887"/>
              <w:gridCol w:w="1137"/>
            </w:tblGrid>
            <w:tr w14:paraId="517CFD8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90" w:hRule="atLeast"/>
                <w:jc w:val="center"/>
              </w:trPr>
              <w:tc>
                <w:tcPr>
                  <w:tcW w:w="321" w:type="pct"/>
                  <w:vMerge w:val="restart"/>
                  <w:tcBorders>
                    <w:top w:val="single" w:color="auto" w:sz="12" w:space="0"/>
                    <w:left w:val="single" w:color="auto" w:sz="12" w:space="0"/>
                    <w:bottom w:val="double" w:color="auto" w:sz="4" w:space="0"/>
                    <w:right w:val="single" w:color="auto" w:sz="2" w:space="0"/>
                  </w:tcBorders>
                  <w:vAlign w:val="center"/>
                </w:tcPr>
                <w:p w14:paraId="0B393214">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产生工段</w:t>
                  </w:r>
                </w:p>
              </w:tc>
              <w:tc>
                <w:tcPr>
                  <w:tcW w:w="467" w:type="pct"/>
                  <w:vMerge w:val="restart"/>
                  <w:tcBorders>
                    <w:top w:val="single" w:color="auto" w:sz="12" w:space="0"/>
                    <w:left w:val="single" w:color="auto" w:sz="2" w:space="0"/>
                    <w:bottom w:val="double" w:color="auto" w:sz="4" w:space="0"/>
                    <w:right w:val="single" w:color="auto" w:sz="2" w:space="0"/>
                  </w:tcBorders>
                  <w:vAlign w:val="center"/>
                </w:tcPr>
                <w:p w14:paraId="6F1B2688">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天然气耗量N</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万</w:t>
                  </w:r>
                  <w:r>
                    <w:rPr>
                      <w:rFonts w:hint="default" w:ascii="Times New Roman" w:hAnsi="Times New Roman" w:eastAsia="宋体" w:cs="Times New Roman"/>
                      <w:color w:val="000000" w:themeColor="text1"/>
                      <w:sz w:val="18"/>
                      <w:szCs w:val="18"/>
                      <w:highlight w:val="none"/>
                      <w14:textFill>
                        <w14:solidFill>
                          <w14:schemeClr w14:val="tx1"/>
                        </w14:solidFill>
                      </w14:textFill>
                    </w:rPr>
                    <w:t>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/a</w:t>
                  </w:r>
                </w:p>
              </w:tc>
              <w:tc>
                <w:tcPr>
                  <w:tcW w:w="824" w:type="pct"/>
                  <w:vMerge w:val="restart"/>
                  <w:tcBorders>
                    <w:top w:val="single" w:color="auto" w:sz="12" w:space="0"/>
                    <w:left w:val="single" w:color="auto" w:sz="2" w:space="0"/>
                    <w:bottom w:val="double" w:color="auto" w:sz="4" w:space="0"/>
                    <w:right w:val="single" w:color="auto" w:sz="4" w:space="0"/>
                  </w:tcBorders>
                  <w:vAlign w:val="center"/>
                </w:tcPr>
                <w:p w14:paraId="383D727B">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废气量</w:t>
                  </w:r>
                </w:p>
              </w:tc>
              <w:tc>
                <w:tcPr>
                  <w:tcW w:w="881" w:type="pct"/>
                  <w:gridSpan w:val="2"/>
                  <w:tcBorders>
                    <w:top w:val="single" w:color="auto" w:sz="12" w:space="0"/>
                    <w:left w:val="single" w:color="auto" w:sz="4" w:space="0"/>
                    <w:bottom w:val="single" w:color="auto" w:sz="4" w:space="0"/>
                    <w:right w:val="single" w:color="auto" w:sz="2" w:space="0"/>
                  </w:tcBorders>
                  <w:vAlign w:val="center"/>
                </w:tcPr>
                <w:p w14:paraId="0ADD6AC7">
                  <w:pPr>
                    <w:pStyle w:val="11"/>
                    <w:snapToGrid w:val="0"/>
                    <w:ind w:firstLine="36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SO</w:t>
                  </w:r>
                  <w:r>
                    <w:rPr>
                      <w:rFonts w:hint="default" w:ascii="Times New Roman" w:hAnsi="Times New Roman" w:eastAsia="宋体" w:cs="Times New Roman"/>
                      <w:color w:val="000000" w:themeColor="text1"/>
                      <w:sz w:val="18"/>
                      <w:szCs w:val="18"/>
                      <w:highlight w:val="none"/>
                      <w:vertAlign w:val="subscript"/>
                      <w14:textFill>
                        <w14:solidFill>
                          <w14:schemeClr w14:val="tx1"/>
                        </w14:solidFill>
                      </w14:textFill>
                    </w:rPr>
                    <w:t>2</w:t>
                  </w:r>
                </w:p>
              </w:tc>
              <w:tc>
                <w:tcPr>
                  <w:tcW w:w="880" w:type="pct"/>
                  <w:gridSpan w:val="2"/>
                  <w:tcBorders>
                    <w:top w:val="single" w:color="auto" w:sz="12" w:space="0"/>
                    <w:left w:val="single" w:color="auto" w:sz="2" w:space="0"/>
                    <w:bottom w:val="single" w:color="auto" w:sz="4" w:space="0"/>
                    <w:right w:val="single" w:color="auto" w:sz="2" w:space="0"/>
                  </w:tcBorders>
                  <w:vAlign w:val="center"/>
                </w:tcPr>
                <w:p w14:paraId="45204EDF">
                  <w:pPr>
                    <w:pStyle w:val="11"/>
                    <w:snapToGrid w:val="0"/>
                    <w:ind w:firstLine="36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NO</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x</w:t>
                  </w:r>
                </w:p>
              </w:tc>
              <w:tc>
                <w:tcPr>
                  <w:tcW w:w="980" w:type="pct"/>
                  <w:gridSpan w:val="2"/>
                  <w:tcBorders>
                    <w:top w:val="single" w:color="auto" w:sz="12" w:space="0"/>
                    <w:left w:val="single" w:color="auto" w:sz="2" w:space="0"/>
                    <w:bottom w:val="single" w:color="auto" w:sz="2" w:space="0"/>
                    <w:right w:val="single" w:color="auto" w:sz="2" w:space="0"/>
                  </w:tcBorders>
                  <w:vAlign w:val="center"/>
                </w:tcPr>
                <w:p w14:paraId="2F33DA71">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644" w:type="pct"/>
                  <w:vMerge w:val="restart"/>
                  <w:tcBorders>
                    <w:top w:val="single" w:color="auto" w:sz="12" w:space="0"/>
                    <w:left w:val="single" w:color="auto" w:sz="2" w:space="0"/>
                    <w:bottom w:val="double" w:color="auto" w:sz="4" w:space="0"/>
                    <w:right w:val="single" w:color="auto" w:sz="12" w:space="0"/>
                  </w:tcBorders>
                  <w:vAlign w:val="center"/>
                </w:tcPr>
                <w:p w14:paraId="50B71C30">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排放形式</w:t>
                  </w:r>
                </w:p>
              </w:tc>
            </w:tr>
            <w:tr w14:paraId="46A6E84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78" w:hRule="atLeast"/>
                <w:jc w:val="center"/>
              </w:trPr>
              <w:tc>
                <w:tcPr>
                  <w:tcW w:w="321" w:type="pct"/>
                  <w:vMerge w:val="continue"/>
                  <w:tcBorders>
                    <w:top w:val="single" w:color="auto" w:sz="12" w:space="0"/>
                    <w:left w:val="single" w:color="auto" w:sz="12" w:space="0"/>
                    <w:bottom w:val="double" w:color="auto" w:sz="4" w:space="0"/>
                    <w:right w:val="single" w:color="auto" w:sz="2" w:space="0"/>
                  </w:tcBorders>
                  <w:vAlign w:val="center"/>
                </w:tcPr>
                <w:p w14:paraId="18BCC030">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467" w:type="pct"/>
                  <w:vMerge w:val="continue"/>
                  <w:tcBorders>
                    <w:top w:val="single" w:color="auto" w:sz="12" w:space="0"/>
                    <w:left w:val="single" w:color="auto" w:sz="2" w:space="0"/>
                    <w:bottom w:val="double" w:color="auto" w:sz="4" w:space="0"/>
                    <w:right w:val="single" w:color="auto" w:sz="2" w:space="0"/>
                  </w:tcBorders>
                  <w:vAlign w:val="center"/>
                </w:tcPr>
                <w:p w14:paraId="71E25D3F">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24" w:type="pct"/>
                  <w:vMerge w:val="continue"/>
                  <w:tcBorders>
                    <w:top w:val="single" w:color="auto" w:sz="12" w:space="0"/>
                    <w:left w:val="single" w:color="auto" w:sz="2" w:space="0"/>
                    <w:bottom w:val="double" w:color="auto" w:sz="4" w:space="0"/>
                    <w:right w:val="single" w:color="auto" w:sz="4" w:space="0"/>
                  </w:tcBorders>
                  <w:vAlign w:val="center"/>
                </w:tcPr>
                <w:p w14:paraId="2FE6E5CB">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377" w:type="pct"/>
                  <w:tcBorders>
                    <w:top w:val="single" w:color="auto" w:sz="4" w:space="0"/>
                    <w:left w:val="single" w:color="auto" w:sz="4" w:space="0"/>
                    <w:bottom w:val="double" w:color="auto" w:sz="4" w:space="0"/>
                    <w:right w:val="single" w:color="auto" w:sz="2" w:space="0"/>
                  </w:tcBorders>
                  <w:vAlign w:val="center"/>
                </w:tcPr>
                <w:p w14:paraId="113D412F">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量t/a</w:t>
                  </w:r>
                  <w:r>
                    <w:rPr>
                      <w:rFonts w:hint="default" w:ascii="Times New Roman" w:hAnsi="Times New Roman" w:eastAsia="宋体" w:cs="Times New Roman"/>
                      <w:color w:val="000000" w:themeColor="text1"/>
                      <w:highlight w:val="none"/>
                      <w14:textFill>
                        <w14:solidFill>
                          <w14:schemeClr w14:val="tx1"/>
                        </w14:solidFill>
                      </w14:textFill>
                    </w:rPr>
                    <w:t xml:space="preserve"> </w:t>
                  </w:r>
                </w:p>
              </w:tc>
              <w:tc>
                <w:tcPr>
                  <w:tcW w:w="503" w:type="pct"/>
                  <w:tcBorders>
                    <w:top w:val="single" w:color="auto" w:sz="4" w:space="0"/>
                    <w:left w:val="single" w:color="auto" w:sz="2" w:space="0"/>
                    <w:bottom w:val="double" w:color="auto" w:sz="4" w:space="0"/>
                    <w:right w:val="single" w:color="auto" w:sz="2" w:space="0"/>
                  </w:tcBorders>
                  <w:vAlign w:val="center"/>
                </w:tcPr>
                <w:p w14:paraId="4766C1AA">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p>
              </w:tc>
              <w:tc>
                <w:tcPr>
                  <w:tcW w:w="458" w:type="pct"/>
                  <w:tcBorders>
                    <w:top w:val="single" w:color="auto" w:sz="4" w:space="0"/>
                    <w:left w:val="single" w:color="auto" w:sz="2" w:space="0"/>
                    <w:bottom w:val="double" w:color="auto" w:sz="4" w:space="0"/>
                    <w:right w:val="single" w:color="auto" w:sz="2" w:space="0"/>
                  </w:tcBorders>
                  <w:vAlign w:val="center"/>
                </w:tcPr>
                <w:p w14:paraId="629B0EB9">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量t/a</w:t>
                  </w:r>
                </w:p>
              </w:tc>
              <w:tc>
                <w:tcPr>
                  <w:tcW w:w="422" w:type="pct"/>
                  <w:tcBorders>
                    <w:top w:val="single" w:color="auto" w:sz="4" w:space="0"/>
                    <w:left w:val="single" w:color="auto" w:sz="2" w:space="0"/>
                    <w:bottom w:val="double" w:color="auto" w:sz="4" w:space="0"/>
                    <w:right w:val="single" w:color="auto" w:sz="2" w:space="0"/>
                  </w:tcBorders>
                  <w:vAlign w:val="center"/>
                </w:tcPr>
                <w:p w14:paraId="79A74F17">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p>
              </w:tc>
              <w:tc>
                <w:tcPr>
                  <w:tcW w:w="478" w:type="pct"/>
                  <w:tcBorders>
                    <w:top w:val="single" w:color="auto" w:sz="4" w:space="0"/>
                    <w:left w:val="single" w:color="auto" w:sz="2" w:space="0"/>
                    <w:bottom w:val="double" w:color="auto" w:sz="4" w:space="0"/>
                    <w:right w:val="single" w:color="auto" w:sz="2" w:space="0"/>
                  </w:tcBorders>
                  <w:vAlign w:val="center"/>
                </w:tcPr>
                <w:p w14:paraId="7BF772CF">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量t/a</w:t>
                  </w:r>
                </w:p>
              </w:tc>
              <w:tc>
                <w:tcPr>
                  <w:tcW w:w="502" w:type="pct"/>
                  <w:tcBorders>
                    <w:top w:val="single" w:color="auto" w:sz="4" w:space="0"/>
                    <w:left w:val="single" w:color="auto" w:sz="2" w:space="0"/>
                    <w:bottom w:val="double" w:color="auto" w:sz="4" w:space="0"/>
                    <w:right w:val="single" w:color="auto" w:sz="2" w:space="0"/>
                  </w:tcBorders>
                  <w:vAlign w:val="center"/>
                </w:tcPr>
                <w:p w14:paraId="4B2BC491">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浓度mg/m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p>
              </w:tc>
              <w:tc>
                <w:tcPr>
                  <w:tcW w:w="644" w:type="pct"/>
                  <w:vMerge w:val="continue"/>
                  <w:tcBorders>
                    <w:top w:val="single" w:color="auto" w:sz="12" w:space="0"/>
                    <w:left w:val="single" w:color="auto" w:sz="2" w:space="0"/>
                    <w:bottom w:val="double" w:color="auto" w:sz="4" w:space="0"/>
                    <w:right w:val="single" w:color="auto" w:sz="12" w:space="0"/>
                  </w:tcBorders>
                  <w:vAlign w:val="center"/>
                </w:tcPr>
                <w:p w14:paraId="47F192C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7542EAF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62" w:hRule="atLeast"/>
                <w:jc w:val="center"/>
              </w:trPr>
              <w:tc>
                <w:tcPr>
                  <w:tcW w:w="321" w:type="pct"/>
                  <w:tcBorders>
                    <w:top w:val="single" w:color="auto" w:sz="2" w:space="0"/>
                    <w:left w:val="single" w:color="auto" w:sz="12" w:space="0"/>
                    <w:right w:val="single" w:color="auto" w:sz="2" w:space="0"/>
                  </w:tcBorders>
                  <w:vAlign w:val="center"/>
                </w:tcPr>
                <w:p w14:paraId="6A052DB9">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天然气燃烧</w:t>
                  </w:r>
                </w:p>
              </w:tc>
              <w:tc>
                <w:tcPr>
                  <w:tcW w:w="467" w:type="pct"/>
                  <w:tcBorders>
                    <w:top w:val="single" w:color="auto" w:sz="2" w:space="0"/>
                    <w:left w:val="single" w:color="auto" w:sz="2" w:space="0"/>
                    <w:right w:val="single" w:color="auto" w:sz="2" w:space="0"/>
                  </w:tcBorders>
                  <w:vAlign w:val="center"/>
                </w:tcPr>
                <w:p w14:paraId="019AD77B">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1914.5</w:t>
                  </w:r>
                </w:p>
              </w:tc>
              <w:tc>
                <w:tcPr>
                  <w:tcW w:w="824" w:type="pct"/>
                  <w:tcBorders>
                    <w:top w:val="single" w:color="auto" w:sz="2" w:space="0"/>
                    <w:left w:val="single" w:color="auto" w:sz="2" w:space="0"/>
                    <w:right w:val="single" w:color="auto" w:sz="4" w:space="0"/>
                  </w:tcBorders>
                  <w:vAlign w:val="center"/>
                </w:tcPr>
                <w:p w14:paraId="1A46BE7D">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20629.3</w:t>
                  </w:r>
                  <w:r>
                    <w:rPr>
                      <w:rFonts w:hint="default" w:ascii="Times New Roman" w:hAnsi="Times New Roman" w:eastAsia="宋体" w:cs="Times New Roman"/>
                      <w:color w:val="000000" w:themeColor="text1"/>
                      <w:sz w:val="18"/>
                      <w:szCs w:val="18"/>
                      <w:highlight w:val="none"/>
                      <w14:textFill>
                        <w14:solidFill>
                          <w14:schemeClr w14:val="tx1"/>
                        </w14:solidFill>
                      </w14:textFill>
                    </w:rPr>
                    <w:t>万Nm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/a（</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95506</w:t>
                  </w:r>
                  <w:r>
                    <w:rPr>
                      <w:rFonts w:hint="default" w:ascii="Times New Roman" w:hAnsi="Times New Roman" w:eastAsia="宋体" w:cs="Times New Roman"/>
                      <w:color w:val="000000" w:themeColor="text1"/>
                      <w:sz w:val="18"/>
                      <w:szCs w:val="18"/>
                      <w:highlight w:val="none"/>
                      <w14:textFill>
                        <w14:solidFill>
                          <w14:schemeClr w14:val="tx1"/>
                        </w14:solidFill>
                      </w14:textFill>
                    </w:rPr>
                    <w:t>m</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/h）</w:t>
                  </w:r>
                </w:p>
              </w:tc>
              <w:tc>
                <w:tcPr>
                  <w:tcW w:w="377" w:type="pct"/>
                  <w:tcBorders>
                    <w:top w:val="single" w:color="auto" w:sz="2" w:space="0"/>
                    <w:left w:val="single" w:color="auto" w:sz="4" w:space="0"/>
                    <w:right w:val="single" w:color="auto" w:sz="4" w:space="0"/>
                  </w:tcBorders>
                  <w:vAlign w:val="center"/>
                </w:tcPr>
                <w:p w14:paraId="0279B461">
                  <w:pPr>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2.30</w:t>
                  </w:r>
                </w:p>
              </w:tc>
              <w:tc>
                <w:tcPr>
                  <w:tcW w:w="503" w:type="pct"/>
                  <w:tcBorders>
                    <w:top w:val="single" w:color="auto" w:sz="2" w:space="0"/>
                    <w:left w:val="single" w:color="auto" w:sz="4" w:space="0"/>
                    <w:right w:val="single" w:color="auto" w:sz="2" w:space="0"/>
                  </w:tcBorders>
                  <w:vAlign w:val="center"/>
                </w:tcPr>
                <w:p w14:paraId="1EB83E30">
                  <w:pPr>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11.14</w:t>
                  </w:r>
                </w:p>
              </w:tc>
              <w:tc>
                <w:tcPr>
                  <w:tcW w:w="458" w:type="pct"/>
                  <w:tcBorders>
                    <w:top w:val="single" w:color="auto" w:sz="2" w:space="0"/>
                    <w:left w:val="single" w:color="auto" w:sz="2" w:space="0"/>
                    <w:right w:val="single" w:color="auto" w:sz="2" w:space="0"/>
                  </w:tcBorders>
                  <w:vAlign w:val="center"/>
                </w:tcPr>
                <w:p w14:paraId="365D4850">
                  <w:pPr>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5.80</w:t>
                  </w:r>
                </w:p>
              </w:tc>
              <w:tc>
                <w:tcPr>
                  <w:tcW w:w="422" w:type="pct"/>
                  <w:tcBorders>
                    <w:top w:val="single" w:color="auto" w:sz="2" w:space="0"/>
                    <w:left w:val="single" w:color="auto" w:sz="2" w:space="0"/>
                    <w:right w:val="single" w:color="auto" w:sz="2" w:space="0"/>
                  </w:tcBorders>
                  <w:vAlign w:val="center"/>
                </w:tcPr>
                <w:p w14:paraId="5613ABED">
                  <w:pPr>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28.</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12</w:t>
                  </w:r>
                </w:p>
              </w:tc>
              <w:tc>
                <w:tcPr>
                  <w:tcW w:w="478" w:type="pct"/>
                  <w:tcBorders>
                    <w:top w:val="single" w:color="auto" w:sz="2" w:space="0"/>
                    <w:left w:val="single" w:color="auto" w:sz="2" w:space="0"/>
                    <w:right w:val="single" w:color="auto" w:sz="2" w:space="0"/>
                  </w:tcBorders>
                  <w:vAlign w:val="center"/>
                </w:tcPr>
                <w:p w14:paraId="16720374">
                  <w:pPr>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1.91</w:t>
                  </w:r>
                </w:p>
              </w:tc>
              <w:tc>
                <w:tcPr>
                  <w:tcW w:w="502" w:type="pct"/>
                  <w:tcBorders>
                    <w:top w:val="single" w:color="auto" w:sz="2" w:space="0"/>
                    <w:left w:val="single" w:color="auto" w:sz="2" w:space="0"/>
                    <w:right w:val="single" w:color="auto" w:sz="2" w:space="0"/>
                  </w:tcBorders>
                  <w:vAlign w:val="center"/>
                </w:tcPr>
                <w:p w14:paraId="2202E97E">
                  <w:pPr>
                    <w:jc w:val="center"/>
                    <w:textAlignment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9.2</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8</w:t>
                  </w:r>
                </w:p>
              </w:tc>
              <w:tc>
                <w:tcPr>
                  <w:tcW w:w="644" w:type="pct"/>
                  <w:tcBorders>
                    <w:top w:val="single" w:color="auto" w:sz="2" w:space="0"/>
                    <w:left w:val="single" w:color="auto" w:sz="2" w:space="0"/>
                    <w:right w:val="single" w:color="auto" w:sz="12" w:space="0"/>
                  </w:tcBorders>
                  <w:vAlign w:val="center"/>
                </w:tcPr>
                <w:p w14:paraId="18D03C0A">
                  <w:pPr>
                    <w:pStyle w:val="11"/>
                    <w:snapToGrid w:val="0"/>
                    <w:ind w:firstLine="0" w:firstLineChars="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 w:val="18"/>
                      <w:szCs w:val="18"/>
                      <w:highlight w:val="none"/>
                      <w14:textFill>
                        <w14:solidFill>
                          <w14:schemeClr w14:val="tx1"/>
                        </w14:solidFill>
                      </w14:textFill>
                    </w:rPr>
                    <w:t>m排气筒（</w:t>
                  </w:r>
                  <w:r>
                    <w:rPr>
                      <w:rFonts w:hint="eastAsia" w:cs="Times New Roman"/>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bl>
          <w:p w14:paraId="17E5BE50">
            <w:pPr>
              <w:adjustRightInd w:val="0"/>
              <w:snapToGrid w:val="0"/>
              <w:spacing w:line="440" w:lineRule="exact"/>
              <w:ind w:firstLine="380"/>
              <w:rPr>
                <w:rFonts w:hint="default" w:ascii="Times New Roman" w:hAnsi="Times New Roman" w:eastAsia="宋体" w:cs="Times New Roman"/>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Cs/>
                <w:color w:val="000000" w:themeColor="text1"/>
                <w:spacing w:val="-10"/>
                <w:szCs w:val="21"/>
                <w:highlight w:val="none"/>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污染物</w:t>
            </w:r>
            <w:r>
              <w:rPr>
                <w:rFonts w:hint="default" w:ascii="Times New Roman" w:hAnsi="Times New Roman" w:eastAsia="宋体" w:cs="Times New Roman"/>
                <w:bCs/>
                <w:color w:val="000000" w:themeColor="text1"/>
                <w:spacing w:val="-10"/>
                <w:szCs w:val="21"/>
                <w:highlight w:val="none"/>
                <w14:textFill>
                  <w14:solidFill>
                    <w14:schemeClr w14:val="tx1"/>
                  </w14:solidFill>
                </w14:textFill>
              </w:rPr>
              <w:t>治理设施及可行性分析</w:t>
            </w:r>
          </w:p>
          <w:p w14:paraId="44F9F2A6">
            <w:pPr>
              <w:adjustRightInd w:val="0"/>
              <w:snapToGrid w:val="0"/>
              <w:spacing w:line="440" w:lineRule="atLeast"/>
              <w:ind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highlight w:val="none"/>
                <w14:textFill>
                  <w14:solidFill>
                    <w14:schemeClr w14:val="tx1"/>
                  </w14:solidFill>
                </w14:textFill>
              </w:rPr>
              <w:t>有组织废气：本期项目天然气燃烧废气由1根</w:t>
            </w:r>
            <w:r>
              <w:rPr>
                <w:rFonts w:hint="default" w:ascii="Times New Roman" w:hAnsi="Times New Roman" w:eastAsia="宋体" w:cs="Times New Roman"/>
                <w:bCs/>
                <w:color w:val="000000" w:themeColor="text1"/>
                <w:highlight w:val="none"/>
                <w:lang w:val="en-US" w:eastAsia="zh-CN"/>
                <w14:textFill>
                  <w14:solidFill>
                    <w14:schemeClr w14:val="tx1"/>
                  </w14:solidFill>
                </w14:textFill>
              </w:rPr>
              <w:t>25</w:t>
            </w:r>
            <w:r>
              <w:rPr>
                <w:rFonts w:hint="default" w:ascii="Times New Roman" w:hAnsi="Times New Roman" w:eastAsia="宋体" w:cs="Times New Roman"/>
                <w:bCs/>
                <w:color w:val="000000" w:themeColor="text1"/>
                <w:highlight w:val="none"/>
                <w14:textFill>
                  <w14:solidFill>
                    <w14:schemeClr w14:val="tx1"/>
                  </w14:solidFill>
                </w14:textFill>
              </w:rPr>
              <w:t>m高排气筒（</w:t>
            </w:r>
            <w:r>
              <w:rPr>
                <w:rFonts w:hint="eastAsia" w:cs="Times New Roman"/>
                <w:bCs/>
                <w:color w:val="000000" w:themeColor="text1"/>
                <w:highlight w:val="none"/>
                <w:lang w:val="en-US" w:eastAsia="zh-CN"/>
                <w14:textFill>
                  <w14:solidFill>
                    <w14:schemeClr w14:val="tx1"/>
                  </w14:solidFill>
                </w14:textFill>
              </w:rPr>
              <w:t>DA004</w:t>
            </w:r>
            <w:r>
              <w:rPr>
                <w:rFonts w:hint="default" w:ascii="Times New Roman" w:hAnsi="Times New Roman" w:eastAsia="宋体" w:cs="Times New Roman"/>
                <w:bCs/>
                <w:color w:val="000000" w:themeColor="text1"/>
                <w:highlight w:val="none"/>
                <w14:textFill>
                  <w14:solidFill>
                    <w14:schemeClr w14:val="tx1"/>
                  </w14:solidFill>
                </w14:textFill>
              </w:rPr>
              <w:t>）有组织排放，排气筒出口内径约为</w:t>
            </w:r>
            <w:r>
              <w:rPr>
                <w:rFonts w:hint="default" w:ascii="Times New Roman" w:hAnsi="Times New Roman" w:eastAsia="宋体" w:cs="Times New Roman"/>
                <w:bCs/>
                <w:color w:val="000000" w:themeColor="text1"/>
                <w:highlight w:val="none"/>
                <w:lang w:val="en-US" w:eastAsia="zh-CN"/>
                <w14:textFill>
                  <w14:solidFill>
                    <w14:schemeClr w14:val="tx1"/>
                  </w14:solidFill>
                </w14:textFill>
              </w:rPr>
              <w:t>2.0</w:t>
            </w:r>
            <w:r>
              <w:rPr>
                <w:rFonts w:hint="default" w:ascii="Times New Roman" w:hAnsi="Times New Roman" w:eastAsia="宋体" w:cs="Times New Roman"/>
                <w:bCs/>
                <w:color w:val="000000" w:themeColor="text1"/>
                <w:highlight w:val="none"/>
                <w14:textFill>
                  <w14:solidFill>
                    <w14:schemeClr w14:val="tx1"/>
                  </w14:solidFill>
                </w14:textFill>
              </w:rPr>
              <w:t>m，烟气出口温度60℃。本期项目采用低氮燃烧技术，对照《排污许可证申请与核发技术规范 锅炉》（HJ593-2018），该项目使用的废气处理工艺为可行性技术。</w:t>
            </w:r>
          </w:p>
          <w:p w14:paraId="4C9F44E0">
            <w:pPr>
              <w:adjustRightInd w:val="0"/>
              <w:snapToGrid w:val="0"/>
              <w:spacing w:line="480" w:lineRule="exact"/>
              <w:ind w:firstLine="420" w:firstLineChars="200"/>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（3）排放源强</w:t>
            </w:r>
          </w:p>
          <w:p w14:paraId="115EFDC0">
            <w:pPr>
              <w:spacing w:line="44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表4-</w:t>
            </w:r>
            <w:r>
              <w:rPr>
                <w:rFonts w:hint="eastAsia"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本</w:t>
            </w:r>
            <w:r>
              <w:rPr>
                <w:rFonts w:hint="default" w:ascii="Times New Roman" w:hAnsi="Times New Roman" w:eastAsia="宋体" w:cs="Times New Roman"/>
                <w:color w:val="000000" w:themeColor="text1"/>
                <w:sz w:val="21"/>
                <w:szCs w:val="21"/>
                <w:highlight w:val="none"/>
                <w14:textFill>
                  <w14:solidFill>
                    <w14:schemeClr w14:val="tx1"/>
                  </w14:solidFill>
                </w14:textFill>
              </w:rPr>
              <w:t>项目有组织废气产生及排放状况</w:t>
            </w:r>
          </w:p>
          <w:tbl>
            <w:tblPr>
              <w:tblStyle w:val="36"/>
              <w:tblW w:w="88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2"/>
              <w:gridCol w:w="731"/>
              <w:gridCol w:w="650"/>
              <w:gridCol w:w="700"/>
              <w:gridCol w:w="594"/>
              <w:gridCol w:w="699"/>
              <w:gridCol w:w="659"/>
              <w:gridCol w:w="389"/>
              <w:gridCol w:w="685"/>
              <w:gridCol w:w="699"/>
              <w:gridCol w:w="699"/>
              <w:gridCol w:w="685"/>
              <w:gridCol w:w="527"/>
              <w:gridCol w:w="565"/>
            </w:tblGrid>
            <w:tr w14:paraId="384BE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restart"/>
                  <w:tcBorders>
                    <w:top w:val="single" w:color="auto" w:sz="12" w:space="0"/>
                    <w:bottom w:val="single" w:color="auto" w:sz="4" w:space="0"/>
                  </w:tcBorders>
                  <w:vAlign w:val="center"/>
                </w:tcPr>
                <w:p w14:paraId="3DDDE18C">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污染源名称</w:t>
                  </w:r>
                </w:p>
              </w:tc>
              <w:tc>
                <w:tcPr>
                  <w:tcW w:w="414" w:type="pct"/>
                  <w:vMerge w:val="restart"/>
                  <w:tcBorders>
                    <w:top w:val="single" w:color="auto" w:sz="12" w:space="0"/>
                    <w:bottom w:val="single" w:color="auto" w:sz="4" w:space="0"/>
                  </w:tcBorders>
                  <w:vAlign w:val="center"/>
                </w:tcPr>
                <w:p w14:paraId="5EE83584">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排气量</w:t>
                  </w:r>
                </w:p>
              </w:tc>
              <w:tc>
                <w:tcPr>
                  <w:tcW w:w="368" w:type="pct"/>
                  <w:vMerge w:val="restart"/>
                  <w:tcBorders>
                    <w:top w:val="single" w:color="auto" w:sz="12" w:space="0"/>
                    <w:bottom w:val="single" w:color="auto" w:sz="4" w:space="0"/>
                  </w:tcBorders>
                  <w:vAlign w:val="center"/>
                </w:tcPr>
                <w:p w14:paraId="7B02B51E">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污染物名称</w:t>
                  </w:r>
                </w:p>
              </w:tc>
              <w:tc>
                <w:tcPr>
                  <w:tcW w:w="1130" w:type="pct"/>
                  <w:gridSpan w:val="3"/>
                  <w:tcBorders>
                    <w:top w:val="single" w:color="auto" w:sz="12" w:space="0"/>
                    <w:bottom w:val="single" w:color="auto" w:sz="4" w:space="0"/>
                  </w:tcBorders>
                  <w:vAlign w:val="center"/>
                </w:tcPr>
                <w:p w14:paraId="4277B01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产生状况</w:t>
                  </w:r>
                </w:p>
              </w:tc>
              <w:tc>
                <w:tcPr>
                  <w:tcW w:w="373" w:type="pct"/>
                  <w:vMerge w:val="restart"/>
                  <w:tcBorders>
                    <w:top w:val="single" w:color="auto" w:sz="12" w:space="0"/>
                  </w:tcBorders>
                  <w:vAlign w:val="center"/>
                </w:tcPr>
                <w:p w14:paraId="3C023B19">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治理措施</w:t>
                  </w:r>
                </w:p>
              </w:tc>
              <w:tc>
                <w:tcPr>
                  <w:tcW w:w="220" w:type="pct"/>
                  <w:vMerge w:val="restart"/>
                  <w:tcBorders>
                    <w:top w:val="single" w:color="auto" w:sz="12" w:space="0"/>
                    <w:bottom w:val="single" w:color="auto" w:sz="4" w:space="0"/>
                  </w:tcBorders>
                  <w:vAlign w:val="center"/>
                </w:tcPr>
                <w:p w14:paraId="6A2CFC48">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处理效率</w:t>
                  </w:r>
                </w:p>
              </w:tc>
              <w:tc>
                <w:tcPr>
                  <w:tcW w:w="1181" w:type="pct"/>
                  <w:gridSpan w:val="3"/>
                  <w:tcBorders>
                    <w:top w:val="single" w:color="auto" w:sz="12" w:space="0"/>
                    <w:bottom w:val="single" w:color="auto" w:sz="4" w:space="0"/>
                  </w:tcBorders>
                  <w:vAlign w:val="center"/>
                </w:tcPr>
                <w:p w14:paraId="35FA40B7">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排放状况</w:t>
                  </w:r>
                </w:p>
              </w:tc>
              <w:tc>
                <w:tcPr>
                  <w:tcW w:w="687" w:type="pct"/>
                  <w:gridSpan w:val="2"/>
                  <w:tcBorders>
                    <w:top w:val="single" w:color="auto" w:sz="12" w:space="0"/>
                    <w:bottom w:val="single" w:color="auto" w:sz="4" w:space="0"/>
                  </w:tcBorders>
                  <w:vAlign w:val="center"/>
                </w:tcPr>
                <w:p w14:paraId="04200AC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执行标准</w:t>
                  </w:r>
                </w:p>
              </w:tc>
              <w:tc>
                <w:tcPr>
                  <w:tcW w:w="320" w:type="pct"/>
                  <w:vMerge w:val="restart"/>
                  <w:tcBorders>
                    <w:top w:val="single" w:color="auto" w:sz="12" w:space="0"/>
                    <w:bottom w:val="single" w:color="auto" w:sz="4" w:space="0"/>
                  </w:tcBorders>
                  <w:vAlign w:val="center"/>
                </w:tcPr>
                <w:p w14:paraId="712B8FD1">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排放方式</w:t>
                  </w:r>
                </w:p>
              </w:tc>
            </w:tr>
            <w:tr w14:paraId="1836C3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continue"/>
                  <w:tcBorders>
                    <w:top w:val="single" w:color="auto" w:sz="4" w:space="0"/>
                    <w:bottom w:val="single" w:color="auto" w:sz="4" w:space="0"/>
                  </w:tcBorders>
                  <w:vAlign w:val="center"/>
                </w:tcPr>
                <w:p w14:paraId="251E6B40">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414" w:type="pct"/>
                  <w:vMerge w:val="continue"/>
                  <w:tcBorders>
                    <w:top w:val="single" w:color="auto" w:sz="4" w:space="0"/>
                    <w:bottom w:val="single" w:color="auto" w:sz="4" w:space="0"/>
                  </w:tcBorders>
                  <w:vAlign w:val="center"/>
                </w:tcPr>
                <w:p w14:paraId="7429F35B">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68" w:type="pct"/>
                  <w:vMerge w:val="continue"/>
                  <w:tcBorders>
                    <w:top w:val="single" w:color="auto" w:sz="4" w:space="0"/>
                    <w:bottom w:val="single" w:color="auto" w:sz="4" w:space="0"/>
                  </w:tcBorders>
                  <w:vAlign w:val="center"/>
                </w:tcPr>
                <w:p w14:paraId="7490C38F">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97" w:type="pct"/>
                  <w:tcBorders>
                    <w:top w:val="single" w:color="auto" w:sz="4" w:space="0"/>
                    <w:bottom w:val="single" w:color="auto" w:sz="4" w:space="0"/>
                  </w:tcBorders>
                  <w:vAlign w:val="center"/>
                </w:tcPr>
                <w:p w14:paraId="36B914F3">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浓度</w:t>
                  </w:r>
                </w:p>
              </w:tc>
              <w:tc>
                <w:tcPr>
                  <w:tcW w:w="336" w:type="pct"/>
                  <w:tcBorders>
                    <w:top w:val="single" w:color="auto" w:sz="4" w:space="0"/>
                    <w:bottom w:val="single" w:color="auto" w:sz="4" w:space="0"/>
                  </w:tcBorders>
                  <w:vAlign w:val="center"/>
                </w:tcPr>
                <w:p w14:paraId="65DF7162">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速率</w:t>
                  </w:r>
                </w:p>
              </w:tc>
              <w:tc>
                <w:tcPr>
                  <w:tcW w:w="396" w:type="pct"/>
                  <w:tcBorders>
                    <w:top w:val="single" w:color="auto" w:sz="4" w:space="0"/>
                    <w:bottom w:val="single" w:color="auto" w:sz="4" w:space="0"/>
                  </w:tcBorders>
                  <w:vAlign w:val="center"/>
                </w:tcPr>
                <w:p w14:paraId="09752B87">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量</w:t>
                  </w:r>
                </w:p>
              </w:tc>
              <w:tc>
                <w:tcPr>
                  <w:tcW w:w="373" w:type="pct"/>
                  <w:vMerge w:val="continue"/>
                  <w:vAlign w:val="center"/>
                </w:tcPr>
                <w:p w14:paraId="06B90A35">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220" w:type="pct"/>
                  <w:vMerge w:val="continue"/>
                  <w:tcBorders>
                    <w:top w:val="single" w:color="auto" w:sz="4" w:space="0"/>
                    <w:bottom w:val="single" w:color="auto" w:sz="4" w:space="0"/>
                  </w:tcBorders>
                  <w:vAlign w:val="center"/>
                </w:tcPr>
                <w:p w14:paraId="39F7D0F2">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88" w:type="pct"/>
                  <w:tcBorders>
                    <w:top w:val="single" w:color="auto" w:sz="4" w:space="0"/>
                    <w:bottom w:val="single" w:color="auto" w:sz="4" w:space="0"/>
                  </w:tcBorders>
                  <w:vAlign w:val="center"/>
                </w:tcPr>
                <w:p w14:paraId="2600ED4B">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浓度</w:t>
                  </w:r>
                </w:p>
              </w:tc>
              <w:tc>
                <w:tcPr>
                  <w:tcW w:w="396" w:type="pct"/>
                  <w:tcBorders>
                    <w:top w:val="single" w:color="auto" w:sz="4" w:space="0"/>
                    <w:bottom w:val="single" w:color="auto" w:sz="4" w:space="0"/>
                  </w:tcBorders>
                  <w:vAlign w:val="center"/>
                </w:tcPr>
                <w:p w14:paraId="37D3BC3F">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速率</w:t>
                  </w:r>
                </w:p>
              </w:tc>
              <w:tc>
                <w:tcPr>
                  <w:tcW w:w="396" w:type="pct"/>
                  <w:tcBorders>
                    <w:top w:val="single" w:color="auto" w:sz="4" w:space="0"/>
                    <w:bottom w:val="single" w:color="auto" w:sz="4" w:space="0"/>
                  </w:tcBorders>
                  <w:vAlign w:val="center"/>
                </w:tcPr>
                <w:p w14:paraId="10300AA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量</w:t>
                  </w:r>
                </w:p>
              </w:tc>
              <w:tc>
                <w:tcPr>
                  <w:tcW w:w="388" w:type="pct"/>
                  <w:tcBorders>
                    <w:top w:val="single" w:color="auto" w:sz="4" w:space="0"/>
                    <w:bottom w:val="single" w:color="auto" w:sz="4" w:space="0"/>
                  </w:tcBorders>
                  <w:vAlign w:val="center"/>
                </w:tcPr>
                <w:p w14:paraId="1DD254DD">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浓度</w:t>
                  </w:r>
                </w:p>
              </w:tc>
              <w:tc>
                <w:tcPr>
                  <w:tcW w:w="298" w:type="pct"/>
                  <w:tcBorders>
                    <w:top w:val="single" w:color="auto" w:sz="4" w:space="0"/>
                    <w:bottom w:val="single" w:color="auto" w:sz="4" w:space="0"/>
                  </w:tcBorders>
                  <w:vAlign w:val="center"/>
                </w:tcPr>
                <w:p w14:paraId="279A37FE">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速率</w:t>
                  </w:r>
                </w:p>
              </w:tc>
              <w:tc>
                <w:tcPr>
                  <w:tcW w:w="320" w:type="pct"/>
                  <w:vMerge w:val="continue"/>
                  <w:tcBorders>
                    <w:top w:val="single" w:color="auto" w:sz="4" w:space="0"/>
                    <w:bottom w:val="single" w:color="auto" w:sz="4" w:space="0"/>
                  </w:tcBorders>
                  <w:vAlign w:val="center"/>
                </w:tcPr>
                <w:p w14:paraId="04543CEF">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r>
            <w:tr w14:paraId="21638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continue"/>
                  <w:tcBorders>
                    <w:top w:val="single" w:color="auto" w:sz="4" w:space="0"/>
                    <w:bottom w:val="double" w:color="auto" w:sz="4" w:space="0"/>
                  </w:tcBorders>
                  <w:vAlign w:val="center"/>
                </w:tcPr>
                <w:p w14:paraId="15EA59C3">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414" w:type="pct"/>
                  <w:tcBorders>
                    <w:top w:val="single" w:color="auto" w:sz="4" w:space="0"/>
                    <w:bottom w:val="double" w:color="auto" w:sz="4" w:space="0"/>
                  </w:tcBorders>
                  <w:vAlign w:val="center"/>
                </w:tcPr>
                <w:p w14:paraId="373FF884">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m</w:t>
                  </w:r>
                  <w:r>
                    <w:rPr>
                      <w:rFonts w:hint="default" w:ascii="Times New Roman" w:hAnsi="Times New Roman" w:eastAsia="宋体" w:cs="Times New Roman"/>
                      <w:color w:val="000000" w:themeColor="text1"/>
                      <w:kern w:val="0"/>
                      <w:sz w:val="18"/>
                      <w:szCs w:val="18"/>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/h</w:t>
                  </w:r>
                </w:p>
              </w:tc>
              <w:tc>
                <w:tcPr>
                  <w:tcW w:w="368" w:type="pct"/>
                  <w:vMerge w:val="continue"/>
                  <w:tcBorders>
                    <w:top w:val="single" w:color="auto" w:sz="4" w:space="0"/>
                    <w:bottom w:val="double" w:color="auto" w:sz="4" w:space="0"/>
                  </w:tcBorders>
                  <w:vAlign w:val="center"/>
                </w:tcPr>
                <w:p w14:paraId="25698D4A">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97" w:type="pct"/>
                  <w:tcBorders>
                    <w:top w:val="single" w:color="auto" w:sz="4" w:space="0"/>
                    <w:bottom w:val="double" w:color="auto" w:sz="4" w:space="0"/>
                  </w:tcBorders>
                  <w:vAlign w:val="center"/>
                </w:tcPr>
                <w:p w14:paraId="779CC5F4">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mg/m</w:t>
                  </w:r>
                  <w:r>
                    <w:rPr>
                      <w:rFonts w:hint="default" w:ascii="Times New Roman" w:hAnsi="Times New Roman" w:eastAsia="宋体" w:cs="Times New Roman"/>
                      <w:color w:val="000000" w:themeColor="text1"/>
                      <w:kern w:val="0"/>
                      <w:sz w:val="18"/>
                      <w:szCs w:val="18"/>
                      <w:highlight w:val="none"/>
                      <w:vertAlign w:val="superscript"/>
                      <w14:textFill>
                        <w14:solidFill>
                          <w14:schemeClr w14:val="tx1"/>
                        </w14:solidFill>
                      </w14:textFill>
                    </w:rPr>
                    <w:t>3</w:t>
                  </w:r>
                </w:p>
              </w:tc>
              <w:tc>
                <w:tcPr>
                  <w:tcW w:w="336" w:type="pct"/>
                  <w:tcBorders>
                    <w:top w:val="single" w:color="auto" w:sz="4" w:space="0"/>
                    <w:bottom w:val="double" w:color="auto" w:sz="4" w:space="0"/>
                  </w:tcBorders>
                  <w:vAlign w:val="center"/>
                </w:tcPr>
                <w:p w14:paraId="74F9FC67">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kg/h</w:t>
                  </w:r>
                </w:p>
              </w:tc>
              <w:tc>
                <w:tcPr>
                  <w:tcW w:w="396" w:type="pct"/>
                  <w:tcBorders>
                    <w:top w:val="single" w:color="auto" w:sz="4" w:space="0"/>
                    <w:bottom w:val="double" w:color="auto" w:sz="4" w:space="0"/>
                  </w:tcBorders>
                  <w:vAlign w:val="center"/>
                </w:tcPr>
                <w:p w14:paraId="4444CBC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t/a</w:t>
                  </w:r>
                </w:p>
              </w:tc>
              <w:tc>
                <w:tcPr>
                  <w:tcW w:w="373" w:type="pct"/>
                  <w:vMerge w:val="continue"/>
                  <w:tcBorders>
                    <w:bottom w:val="double" w:color="auto" w:sz="4" w:space="0"/>
                  </w:tcBorders>
                  <w:vAlign w:val="center"/>
                </w:tcPr>
                <w:p w14:paraId="05E3C6DE">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220" w:type="pct"/>
                  <w:vMerge w:val="continue"/>
                  <w:tcBorders>
                    <w:top w:val="single" w:color="auto" w:sz="4" w:space="0"/>
                    <w:bottom w:val="double" w:color="auto" w:sz="4" w:space="0"/>
                  </w:tcBorders>
                  <w:vAlign w:val="center"/>
                </w:tcPr>
                <w:p w14:paraId="2AD736A7">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88" w:type="pct"/>
                  <w:tcBorders>
                    <w:top w:val="single" w:color="auto" w:sz="4" w:space="0"/>
                    <w:bottom w:val="double" w:color="auto" w:sz="4" w:space="0"/>
                  </w:tcBorders>
                  <w:vAlign w:val="center"/>
                </w:tcPr>
                <w:p w14:paraId="5760AAB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mg/m</w:t>
                  </w:r>
                  <w:r>
                    <w:rPr>
                      <w:rFonts w:hint="default" w:ascii="Times New Roman" w:hAnsi="Times New Roman" w:eastAsia="宋体" w:cs="Times New Roman"/>
                      <w:color w:val="000000" w:themeColor="text1"/>
                      <w:kern w:val="0"/>
                      <w:sz w:val="18"/>
                      <w:szCs w:val="18"/>
                      <w:highlight w:val="none"/>
                      <w:vertAlign w:val="superscript"/>
                      <w14:textFill>
                        <w14:solidFill>
                          <w14:schemeClr w14:val="tx1"/>
                        </w14:solidFill>
                      </w14:textFill>
                    </w:rPr>
                    <w:t>3</w:t>
                  </w:r>
                </w:p>
              </w:tc>
              <w:tc>
                <w:tcPr>
                  <w:tcW w:w="396" w:type="pct"/>
                  <w:tcBorders>
                    <w:top w:val="single" w:color="auto" w:sz="4" w:space="0"/>
                    <w:bottom w:val="double" w:color="auto" w:sz="4" w:space="0"/>
                  </w:tcBorders>
                  <w:vAlign w:val="center"/>
                </w:tcPr>
                <w:p w14:paraId="486C4E6B">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kg/h</w:t>
                  </w:r>
                </w:p>
              </w:tc>
              <w:tc>
                <w:tcPr>
                  <w:tcW w:w="396" w:type="pct"/>
                  <w:tcBorders>
                    <w:top w:val="single" w:color="auto" w:sz="4" w:space="0"/>
                    <w:bottom w:val="double" w:color="auto" w:sz="4" w:space="0"/>
                  </w:tcBorders>
                  <w:vAlign w:val="center"/>
                </w:tcPr>
                <w:p w14:paraId="404EDD38">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t/a</w:t>
                  </w:r>
                </w:p>
              </w:tc>
              <w:tc>
                <w:tcPr>
                  <w:tcW w:w="388" w:type="pct"/>
                  <w:tcBorders>
                    <w:top w:val="single" w:color="auto" w:sz="4" w:space="0"/>
                    <w:bottom w:val="double" w:color="auto" w:sz="4" w:space="0"/>
                  </w:tcBorders>
                  <w:vAlign w:val="center"/>
                </w:tcPr>
                <w:p w14:paraId="1A266C5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mg/m</w:t>
                  </w:r>
                  <w:r>
                    <w:rPr>
                      <w:rFonts w:hint="default" w:ascii="Times New Roman" w:hAnsi="Times New Roman" w:eastAsia="宋体" w:cs="Times New Roman"/>
                      <w:color w:val="000000" w:themeColor="text1"/>
                      <w:kern w:val="0"/>
                      <w:sz w:val="18"/>
                      <w:szCs w:val="18"/>
                      <w:highlight w:val="none"/>
                      <w:vertAlign w:val="superscript"/>
                      <w14:textFill>
                        <w14:solidFill>
                          <w14:schemeClr w14:val="tx1"/>
                        </w14:solidFill>
                      </w14:textFill>
                    </w:rPr>
                    <w:t>3</w:t>
                  </w:r>
                </w:p>
              </w:tc>
              <w:tc>
                <w:tcPr>
                  <w:tcW w:w="298" w:type="pct"/>
                  <w:tcBorders>
                    <w:top w:val="single" w:color="auto" w:sz="4" w:space="0"/>
                    <w:bottom w:val="double" w:color="auto" w:sz="4" w:space="0"/>
                  </w:tcBorders>
                  <w:vAlign w:val="center"/>
                </w:tcPr>
                <w:p w14:paraId="5EC7AF2B">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kg/h</w:t>
                  </w:r>
                </w:p>
              </w:tc>
              <w:tc>
                <w:tcPr>
                  <w:tcW w:w="320" w:type="pct"/>
                  <w:vMerge w:val="continue"/>
                  <w:tcBorders>
                    <w:top w:val="single" w:color="auto" w:sz="4" w:space="0"/>
                    <w:bottom w:val="double" w:color="auto" w:sz="4" w:space="0"/>
                  </w:tcBorders>
                  <w:vAlign w:val="center"/>
                </w:tcPr>
                <w:p w14:paraId="4E16B46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r>
            <w:tr w14:paraId="679079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restart"/>
                  <w:vAlign w:val="center"/>
                </w:tcPr>
                <w:p w14:paraId="20BDA03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排气筒</w:t>
                  </w:r>
                </w:p>
              </w:tc>
              <w:tc>
                <w:tcPr>
                  <w:tcW w:w="414" w:type="pct"/>
                  <w:vMerge w:val="restart"/>
                  <w:vAlign w:val="center"/>
                </w:tcPr>
                <w:p w14:paraId="7DBCC96C">
                  <w:pPr>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95506</w:t>
                  </w:r>
                </w:p>
              </w:tc>
              <w:tc>
                <w:tcPr>
                  <w:tcW w:w="368" w:type="pct"/>
                  <w:vAlign w:val="center"/>
                </w:tcPr>
                <w:p w14:paraId="350C3645">
                  <w:pPr>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二氧化硫</w:t>
                  </w:r>
                </w:p>
              </w:tc>
              <w:tc>
                <w:tcPr>
                  <w:tcW w:w="397" w:type="pct"/>
                  <w:vAlign w:val="center"/>
                </w:tcPr>
                <w:p w14:paraId="43EE485D">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11.14</w:t>
                  </w:r>
                </w:p>
              </w:tc>
              <w:tc>
                <w:tcPr>
                  <w:tcW w:w="336" w:type="pct"/>
                  <w:vAlign w:val="center"/>
                </w:tcPr>
                <w:p w14:paraId="0419ACD6">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1.06</w:t>
                  </w:r>
                </w:p>
              </w:tc>
              <w:tc>
                <w:tcPr>
                  <w:tcW w:w="396" w:type="pct"/>
                  <w:vAlign w:val="center"/>
                </w:tcPr>
                <w:p w14:paraId="1880AFF7">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2.30</w:t>
                  </w:r>
                </w:p>
              </w:tc>
              <w:tc>
                <w:tcPr>
                  <w:tcW w:w="373" w:type="pct"/>
                  <w:vMerge w:val="restart"/>
                  <w:vAlign w:val="center"/>
                </w:tcPr>
                <w:p w14:paraId="1F721932">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采用低氮燃烧技术，减少氮氧化物产生</w:t>
                  </w:r>
                </w:p>
              </w:tc>
              <w:tc>
                <w:tcPr>
                  <w:tcW w:w="220" w:type="pct"/>
                  <w:vAlign w:val="center"/>
                </w:tcPr>
                <w:p w14:paraId="2B6EECBC">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88" w:type="pct"/>
                  <w:vAlign w:val="center"/>
                </w:tcPr>
                <w:p w14:paraId="3DC5FA3D">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11.14</w:t>
                  </w:r>
                </w:p>
              </w:tc>
              <w:tc>
                <w:tcPr>
                  <w:tcW w:w="396" w:type="pct"/>
                  <w:vAlign w:val="center"/>
                </w:tcPr>
                <w:p w14:paraId="6A7047B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1.06</w:t>
                  </w:r>
                </w:p>
              </w:tc>
              <w:tc>
                <w:tcPr>
                  <w:tcW w:w="396" w:type="pct"/>
                  <w:vAlign w:val="center"/>
                </w:tcPr>
                <w:p w14:paraId="3E61595E">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2.30</w:t>
                  </w:r>
                </w:p>
              </w:tc>
              <w:tc>
                <w:tcPr>
                  <w:tcW w:w="388" w:type="pct"/>
                  <w:vAlign w:val="center"/>
                </w:tcPr>
                <w:p w14:paraId="25C766E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35</w:t>
                  </w:r>
                </w:p>
              </w:tc>
              <w:tc>
                <w:tcPr>
                  <w:tcW w:w="298" w:type="pct"/>
                  <w:vAlign w:val="center"/>
                </w:tcPr>
                <w:p w14:paraId="21E8AB7F">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20" w:type="pct"/>
                  <w:vMerge w:val="restart"/>
                  <w:vAlign w:val="center"/>
                </w:tcPr>
                <w:p w14:paraId="31FAD9AA">
                  <w:pPr>
                    <w:adjustRightInd w:val="0"/>
                    <w:jc w:val="cente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点源，连续排放</w:t>
                  </w:r>
                  <w: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3个月</w:t>
                  </w:r>
                  <w:r>
                    <w:rPr>
                      <w:rFonts w:hint="default" w:ascii="Times New Roman" w:hAnsi="Times New Roman" w:eastAsia="宋体" w:cs="Times New Roman"/>
                      <w:color w:val="000000" w:themeColor="text1"/>
                      <w:kern w:val="0"/>
                      <w:sz w:val="18"/>
                      <w:szCs w:val="18"/>
                      <w:highlight w:val="none"/>
                      <w:lang w:eastAsia="zh-CN"/>
                      <w14:textFill>
                        <w14:solidFill>
                          <w14:schemeClr w14:val="tx1"/>
                        </w14:solidFill>
                      </w14:textFill>
                    </w:rPr>
                    <w:t>）</w:t>
                  </w:r>
                </w:p>
              </w:tc>
            </w:tr>
            <w:tr w14:paraId="6EA09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continue"/>
                  <w:vAlign w:val="center"/>
                </w:tcPr>
                <w:p w14:paraId="551E163D">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414" w:type="pct"/>
                  <w:vMerge w:val="continue"/>
                  <w:vAlign w:val="center"/>
                </w:tcPr>
                <w:p w14:paraId="3793E3C9">
                  <w:pPr>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68" w:type="pct"/>
                  <w:vAlign w:val="center"/>
                </w:tcPr>
                <w:p w14:paraId="273C9015">
                  <w:pPr>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氮氧化物</w:t>
                  </w:r>
                </w:p>
              </w:tc>
              <w:tc>
                <w:tcPr>
                  <w:tcW w:w="397" w:type="pct"/>
                  <w:vAlign w:val="center"/>
                </w:tcPr>
                <w:p w14:paraId="7884994A">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28.</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12</w:t>
                  </w:r>
                </w:p>
              </w:tc>
              <w:tc>
                <w:tcPr>
                  <w:tcW w:w="336" w:type="pct"/>
                  <w:vAlign w:val="center"/>
                </w:tcPr>
                <w:p w14:paraId="1C055A0A">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2.69</w:t>
                  </w:r>
                </w:p>
              </w:tc>
              <w:tc>
                <w:tcPr>
                  <w:tcW w:w="396" w:type="pct"/>
                  <w:vAlign w:val="center"/>
                </w:tcPr>
                <w:p w14:paraId="66AEDB75">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p>
              </w:tc>
              <w:tc>
                <w:tcPr>
                  <w:tcW w:w="373" w:type="pct"/>
                  <w:vMerge w:val="continue"/>
                  <w:vAlign w:val="center"/>
                </w:tcPr>
                <w:p w14:paraId="544EF95D">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220" w:type="pct"/>
                  <w:vAlign w:val="center"/>
                </w:tcPr>
                <w:p w14:paraId="0BDE1D92">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88" w:type="pct"/>
                  <w:vAlign w:val="center"/>
                </w:tcPr>
                <w:p w14:paraId="4069433A">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28.</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12</w:t>
                  </w:r>
                </w:p>
              </w:tc>
              <w:tc>
                <w:tcPr>
                  <w:tcW w:w="396" w:type="pct"/>
                  <w:vAlign w:val="center"/>
                </w:tcPr>
                <w:p w14:paraId="4775E434">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2.69</w:t>
                  </w:r>
                </w:p>
              </w:tc>
              <w:tc>
                <w:tcPr>
                  <w:tcW w:w="396" w:type="pct"/>
                  <w:vAlign w:val="center"/>
                </w:tcPr>
                <w:p w14:paraId="26EBC2DC">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p>
              </w:tc>
              <w:tc>
                <w:tcPr>
                  <w:tcW w:w="388" w:type="pct"/>
                  <w:vAlign w:val="center"/>
                </w:tcPr>
                <w:p w14:paraId="6A41C4FA">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50</w:t>
                  </w:r>
                </w:p>
              </w:tc>
              <w:tc>
                <w:tcPr>
                  <w:tcW w:w="298" w:type="pct"/>
                  <w:vAlign w:val="center"/>
                </w:tcPr>
                <w:p w14:paraId="5C41D535">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20" w:type="pct"/>
                  <w:vMerge w:val="continue"/>
                  <w:vAlign w:val="center"/>
                </w:tcPr>
                <w:p w14:paraId="084C52BA">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r>
            <w:tr w14:paraId="09F74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01" w:type="pct"/>
                  <w:vMerge w:val="continue"/>
                  <w:vAlign w:val="center"/>
                </w:tcPr>
                <w:p w14:paraId="5C5632F2">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414" w:type="pct"/>
                  <w:vMerge w:val="continue"/>
                  <w:vAlign w:val="center"/>
                </w:tcPr>
                <w:p w14:paraId="2268241B">
                  <w:pPr>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368" w:type="pct"/>
                  <w:vAlign w:val="center"/>
                </w:tcPr>
                <w:p w14:paraId="71315A01">
                  <w:pPr>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颗粒物</w:t>
                  </w:r>
                </w:p>
              </w:tc>
              <w:tc>
                <w:tcPr>
                  <w:tcW w:w="397" w:type="pct"/>
                  <w:vAlign w:val="center"/>
                </w:tcPr>
                <w:p w14:paraId="4635E39D">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9.2</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8</w:t>
                  </w:r>
                </w:p>
              </w:tc>
              <w:tc>
                <w:tcPr>
                  <w:tcW w:w="336" w:type="pct"/>
                  <w:vAlign w:val="center"/>
                </w:tcPr>
                <w:p w14:paraId="0C21D7D2">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0.89</w:t>
                  </w:r>
                </w:p>
              </w:tc>
              <w:tc>
                <w:tcPr>
                  <w:tcW w:w="396" w:type="pct"/>
                  <w:vAlign w:val="center"/>
                </w:tcPr>
                <w:p w14:paraId="6199381F">
                  <w:pPr>
                    <w:widowControl/>
                    <w:adjustRightInd w:val="0"/>
                    <w:jc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p>
              </w:tc>
              <w:tc>
                <w:tcPr>
                  <w:tcW w:w="373" w:type="pct"/>
                  <w:vMerge w:val="continue"/>
                  <w:vAlign w:val="center"/>
                </w:tcPr>
                <w:p w14:paraId="2CAB5EA9">
                  <w:pPr>
                    <w:widowControl/>
                    <w:adjustRightInd w:val="0"/>
                    <w:snapToGri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c>
                <w:tcPr>
                  <w:tcW w:w="220" w:type="pct"/>
                  <w:vAlign w:val="center"/>
                </w:tcPr>
                <w:p w14:paraId="44567C01">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88" w:type="pct"/>
                  <w:vAlign w:val="center"/>
                </w:tcPr>
                <w:p w14:paraId="790B50C8">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9.2</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8</w:t>
                  </w:r>
                </w:p>
              </w:tc>
              <w:tc>
                <w:tcPr>
                  <w:tcW w:w="396" w:type="pct"/>
                  <w:vAlign w:val="center"/>
                </w:tcPr>
                <w:p w14:paraId="50E637F1">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0.89</w:t>
                  </w:r>
                </w:p>
              </w:tc>
              <w:tc>
                <w:tcPr>
                  <w:tcW w:w="396" w:type="pct"/>
                  <w:vAlign w:val="center"/>
                </w:tcPr>
                <w:p w14:paraId="778FF8CF">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p>
              </w:tc>
              <w:tc>
                <w:tcPr>
                  <w:tcW w:w="388" w:type="pct"/>
                  <w:vAlign w:val="center"/>
                </w:tcPr>
                <w:p w14:paraId="0384EF99">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10</w:t>
                  </w:r>
                </w:p>
              </w:tc>
              <w:tc>
                <w:tcPr>
                  <w:tcW w:w="298" w:type="pct"/>
                  <w:vAlign w:val="center"/>
                </w:tcPr>
                <w:p w14:paraId="7E88061D">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w:t>
                  </w:r>
                </w:p>
              </w:tc>
              <w:tc>
                <w:tcPr>
                  <w:tcW w:w="320" w:type="pct"/>
                  <w:vMerge w:val="continue"/>
                  <w:vAlign w:val="center"/>
                </w:tcPr>
                <w:p w14:paraId="4C670A93">
                  <w:pPr>
                    <w:widowControl/>
                    <w:adjustRightInd w:val="0"/>
                    <w:jc w:val="cente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tc>
            </w:tr>
          </w:tbl>
          <w:p w14:paraId="04001A1F">
            <w:pPr>
              <w:spacing w:line="480" w:lineRule="exact"/>
              <w:ind w:left="375"/>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源强核算过程：</w:t>
            </w:r>
          </w:p>
          <w:p w14:paraId="18682D16">
            <w:pPr>
              <w:spacing w:line="480" w:lineRule="exact"/>
              <w:ind w:left="-107" w:leftChars="-51" w:firstLine="420" w:firstLineChars="200"/>
              <w:jc w:val="left"/>
              <w:rPr>
                <w:rFonts w:hint="default" w:ascii="Times New Roman" w:hAnsi="Times New Roman" w:eastAsia="宋体" w:cs="Times New Roman"/>
                <w:color w:val="000000" w:themeColor="text1"/>
                <w:spacing w:val="-2"/>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szCs w:val="21"/>
                <w:highlight w:val="none"/>
                <w14:textFill>
                  <w14:solidFill>
                    <w14:schemeClr w14:val="tx1"/>
                  </w14:solidFill>
                </w14:textFill>
              </w:rPr>
              <w:t>排气筒：天然气燃烧废气排放口。天然气燃烧产生的二氧化硫、氮氧化物、颗粒物的</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产生</w:t>
            </w:r>
            <w:r>
              <w:rPr>
                <w:rFonts w:hint="default" w:ascii="Times New Roman" w:hAnsi="Times New Roman" w:eastAsia="宋体" w:cs="Times New Roman"/>
                <w:color w:val="000000" w:themeColor="text1"/>
                <w:szCs w:val="21"/>
                <w:highlight w:val="none"/>
                <w14:textFill>
                  <w14:solidFill>
                    <w14:schemeClr w14:val="tx1"/>
                  </w14:solidFill>
                </w14:textFill>
              </w:rPr>
              <w:t>量分别为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2.30</w:t>
            </w:r>
            <w:r>
              <w:rPr>
                <w:rFonts w:hint="default" w:ascii="Times New Roman" w:hAnsi="Times New Roman" w:eastAsia="宋体" w:cs="Times New Roman"/>
                <w:color w:val="000000" w:themeColor="text1"/>
                <w:szCs w:val="21"/>
                <w:highlight w:val="none"/>
                <w14:textFill>
                  <w14:solidFill>
                    <w14:schemeClr w14:val="tx1"/>
                  </w14:solidFill>
                </w14:textFill>
              </w:rPr>
              <w:t>t/a、</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5.80</w:t>
            </w:r>
            <w:r>
              <w:rPr>
                <w:rFonts w:hint="default" w:ascii="Times New Roman" w:hAnsi="Times New Roman" w:eastAsia="宋体" w:cs="Times New Roman"/>
                <w:color w:val="000000" w:themeColor="text1"/>
                <w:szCs w:val="21"/>
                <w:highlight w:val="none"/>
                <w14:textFill>
                  <w14:solidFill>
                    <w14:schemeClr w14:val="tx1"/>
                  </w14:solidFill>
                </w14:textFill>
              </w:rPr>
              <w:t>t/a、</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1.91</w:t>
            </w:r>
            <w:r>
              <w:rPr>
                <w:rFonts w:hint="default" w:ascii="Times New Roman" w:hAnsi="Times New Roman" w:eastAsia="宋体" w:cs="Times New Roman"/>
                <w:color w:val="000000" w:themeColor="text1"/>
                <w:szCs w:val="21"/>
                <w:highlight w:val="none"/>
                <w14:textFill>
                  <w14:solidFill>
                    <w14:schemeClr w14:val="tx1"/>
                  </w14:solidFill>
                </w14:textFill>
              </w:rPr>
              <w:t>t/a</w:t>
            </w:r>
            <w:r>
              <w:rPr>
                <w:rFonts w:hint="default" w:ascii="Times New Roman" w:hAnsi="Times New Roman" w:eastAsia="宋体" w:cs="Times New Roman"/>
                <w:color w:val="000000" w:themeColor="text1"/>
                <w:spacing w:val="-2"/>
                <w:szCs w:val="21"/>
                <w:highlight w:val="none"/>
                <w14:textFill>
                  <w14:solidFill>
                    <w14:schemeClr w14:val="tx1"/>
                  </w14:solidFill>
                </w14:textFill>
              </w:rPr>
              <w:t>。燃烧废气在炉内密闭燃烧后直接排放，因此排放量即为产生量。二氧化硫排放量</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2.30</w:t>
            </w:r>
            <w:r>
              <w:rPr>
                <w:rFonts w:hint="default" w:ascii="Times New Roman" w:hAnsi="Times New Roman" w:eastAsia="宋体" w:cs="Times New Roman"/>
                <w:color w:val="000000" w:themeColor="text1"/>
                <w:spacing w:val="-2"/>
                <w:szCs w:val="21"/>
                <w:highlight w:val="none"/>
                <w14:textFill>
                  <w14:solidFill>
                    <w14:schemeClr w14:val="tx1"/>
                  </w14:solidFill>
                </w14:textFill>
              </w:rPr>
              <w:t>t/a，氮氧化物产生量</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5.80</w:t>
            </w:r>
            <w:r>
              <w:rPr>
                <w:rFonts w:hint="default" w:ascii="Times New Roman" w:hAnsi="Times New Roman" w:eastAsia="宋体" w:cs="Times New Roman"/>
                <w:color w:val="000000" w:themeColor="text1"/>
                <w:spacing w:val="-2"/>
                <w:szCs w:val="21"/>
                <w:highlight w:val="none"/>
                <w14:textFill>
                  <w14:solidFill>
                    <w14:schemeClr w14:val="tx1"/>
                  </w14:solidFill>
                </w14:textFill>
              </w:rPr>
              <w:t>t/a，颗粒物产生量为</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1.91</w:t>
            </w:r>
            <w:r>
              <w:rPr>
                <w:rFonts w:hint="default" w:ascii="Times New Roman" w:hAnsi="Times New Roman" w:eastAsia="宋体" w:cs="Times New Roman"/>
                <w:color w:val="000000" w:themeColor="text1"/>
                <w:spacing w:val="-2"/>
                <w:szCs w:val="21"/>
                <w:highlight w:val="none"/>
                <w14:textFill>
                  <w14:solidFill>
                    <w14:schemeClr w14:val="tx1"/>
                  </w14:solidFill>
                </w14:textFill>
              </w:rPr>
              <w:t>t/a。按年工作</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90</w:t>
            </w:r>
            <w:r>
              <w:rPr>
                <w:rFonts w:hint="default" w:ascii="Times New Roman" w:hAnsi="Times New Roman" w:eastAsia="宋体" w:cs="Times New Roman"/>
                <w:color w:val="000000" w:themeColor="text1"/>
                <w:spacing w:val="-2"/>
                <w:szCs w:val="21"/>
                <w:highlight w:val="none"/>
                <w14:textFill>
                  <w14:solidFill>
                    <w14:schemeClr w14:val="tx1"/>
                  </w14:solidFill>
                </w14:textFill>
              </w:rPr>
              <w:t>天，每天工作</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24</w:t>
            </w:r>
            <w:r>
              <w:rPr>
                <w:rFonts w:hint="default" w:ascii="Times New Roman" w:hAnsi="Times New Roman" w:eastAsia="宋体" w:cs="Times New Roman"/>
                <w:color w:val="000000" w:themeColor="text1"/>
                <w:spacing w:val="-2"/>
                <w:szCs w:val="21"/>
                <w:highlight w:val="none"/>
                <w14:textFill>
                  <w14:solidFill>
                    <w14:schemeClr w14:val="tx1"/>
                  </w14:solidFill>
                </w14:textFill>
              </w:rPr>
              <w:t>小时</w:t>
            </w:r>
            <w:r>
              <w:rPr>
                <w:rFonts w:hint="default" w:ascii="Times New Roman" w:hAnsi="Times New Roman" w:eastAsia="宋体" w:cs="Times New Roman"/>
                <w:color w:val="000000" w:themeColor="text1"/>
                <w:spacing w:val="-2"/>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年工作2160小时</w:t>
            </w:r>
            <w:r>
              <w:rPr>
                <w:rFonts w:hint="default" w:ascii="Times New Roman" w:hAnsi="Times New Roman" w:eastAsia="宋体" w:cs="Times New Roman"/>
                <w:color w:val="000000" w:themeColor="text1"/>
                <w:spacing w:val="-2"/>
                <w:szCs w:val="21"/>
                <w:highlight w:val="none"/>
                <w14:textFill>
                  <w14:solidFill>
                    <w14:schemeClr w14:val="tx1"/>
                  </w14:solidFill>
                </w14:textFill>
              </w:rPr>
              <w:t>计，则排放速率依次为</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2.30</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/2</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pacing w:val="-2"/>
                <w:szCs w:val="21"/>
                <w:highlight w:val="none"/>
                <w14:textFill>
                  <w14:solidFill>
                    <w14:schemeClr w14:val="tx1"/>
                  </w14:solidFill>
                </w14:textFill>
              </w:rPr>
              <w:t>0=</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1.06</w:t>
            </w:r>
            <w:r>
              <w:rPr>
                <w:rFonts w:hint="default" w:ascii="Times New Roman" w:hAnsi="Times New Roman" w:eastAsia="宋体" w:cs="Times New Roman"/>
                <w:color w:val="000000" w:themeColor="text1"/>
                <w:spacing w:val="-2"/>
                <w:szCs w:val="21"/>
                <w:highlight w:val="none"/>
                <w14:textFill>
                  <w14:solidFill>
                    <w14:schemeClr w14:val="tx1"/>
                  </w14:solidFill>
                </w14:textFill>
              </w:rPr>
              <w:t>kg/h、</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5.80</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/2</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pacing w:val="-2"/>
                <w:szCs w:val="21"/>
                <w:highlight w:val="none"/>
                <w14:textFill>
                  <w14:solidFill>
                    <w14:schemeClr w14:val="tx1"/>
                  </w14:solidFill>
                </w14:textFill>
              </w:rPr>
              <w:t>0=</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2.69</w:t>
            </w:r>
            <w:r>
              <w:rPr>
                <w:rFonts w:hint="default" w:ascii="Times New Roman" w:hAnsi="Times New Roman" w:eastAsia="宋体" w:cs="Times New Roman"/>
                <w:color w:val="000000" w:themeColor="text1"/>
                <w:spacing w:val="-2"/>
                <w:szCs w:val="21"/>
                <w:highlight w:val="none"/>
                <w14:textFill>
                  <w14:solidFill>
                    <w14:schemeClr w14:val="tx1"/>
                  </w14:solidFill>
                </w14:textFill>
              </w:rPr>
              <w:t>kg/h、</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1.91</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/2</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pacing w:val="-2"/>
                <w:szCs w:val="21"/>
                <w:highlight w:val="none"/>
                <w14:textFill>
                  <w14:solidFill>
                    <w14:schemeClr w14:val="tx1"/>
                  </w14:solidFill>
                </w14:textFill>
              </w:rPr>
              <w:t>0=0</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.89</w:t>
            </w:r>
            <w:r>
              <w:rPr>
                <w:rFonts w:hint="default" w:ascii="Times New Roman" w:hAnsi="Times New Roman" w:eastAsia="宋体" w:cs="Times New Roman"/>
                <w:color w:val="000000" w:themeColor="text1"/>
                <w:spacing w:val="-2"/>
                <w:szCs w:val="21"/>
                <w:highlight w:val="none"/>
                <w14:textFill>
                  <w14:solidFill>
                    <w14:schemeClr w14:val="tx1"/>
                  </w14:solidFill>
                </w14:textFill>
              </w:rPr>
              <w:t>kg/h，排气量为</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95506</w:t>
            </w:r>
            <w:r>
              <w:rPr>
                <w:rFonts w:hint="default" w:ascii="Times New Roman" w:hAnsi="Times New Roman" w:eastAsia="宋体" w:cs="Times New Roman"/>
                <w:color w:val="000000" w:themeColor="text1"/>
                <w:spacing w:val="-2"/>
                <w:szCs w:val="21"/>
                <w:highlight w:val="none"/>
                <w14:textFill>
                  <w14:solidFill>
                    <w14:schemeClr w14:val="tx1"/>
                  </w14:solidFill>
                </w14:textFill>
              </w:rPr>
              <w:t>m</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/h，浓度依次即为</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1.06</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6</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95506</w:t>
            </w:r>
            <w:r>
              <w:rPr>
                <w:rFonts w:hint="default" w:ascii="Times New Roman" w:hAnsi="Times New Roman" w:eastAsia="宋体" w:cs="Times New Roman"/>
                <w:color w:val="000000" w:themeColor="text1"/>
                <w:spacing w:val="-2"/>
                <w:szCs w:val="21"/>
                <w:highlight w:val="none"/>
                <w14:textFill>
                  <w14:solidFill>
                    <w14:schemeClr w14:val="tx1"/>
                  </w14:solidFill>
                </w14:textFill>
              </w:rPr>
              <w:t>=11.14mg/m</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2.69</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6</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95506</w:t>
            </w:r>
            <w:r>
              <w:rPr>
                <w:rFonts w:hint="default" w:ascii="Times New Roman" w:hAnsi="Times New Roman" w:eastAsia="宋体" w:cs="Times New Roman"/>
                <w:color w:val="000000" w:themeColor="text1"/>
                <w:spacing w:val="-2"/>
                <w:szCs w:val="21"/>
                <w:highlight w:val="none"/>
                <w14:textFill>
                  <w14:solidFill>
                    <w14:schemeClr w14:val="tx1"/>
                  </w14:solidFill>
                </w14:textFill>
              </w:rPr>
              <w:t>=28.1</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pacing w:val="-2"/>
                <w:szCs w:val="21"/>
                <w:highlight w:val="none"/>
                <w14:textFill>
                  <w14:solidFill>
                    <w14:schemeClr w14:val="tx1"/>
                  </w14:solidFill>
                </w14:textFill>
              </w:rPr>
              <w:t>mg/m</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0.89</w:t>
            </w:r>
            <w:r>
              <w:rPr>
                <w:rFonts w:hint="default" w:ascii="Times New Roman" w:hAnsi="Times New Roman" w:eastAsia="宋体" w:cs="Times New Roman"/>
                <w:color w:val="000000" w:themeColor="text1"/>
                <w:spacing w:val="-2"/>
                <w:szCs w:val="21"/>
                <w:highlight w:val="none"/>
                <w14:textFill>
                  <w14:solidFill>
                    <w14:schemeClr w14:val="tx1"/>
                  </w14:solidFill>
                </w14:textFill>
              </w:rPr>
              <w:t>×10</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6</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95506</w:t>
            </w:r>
            <w:r>
              <w:rPr>
                <w:rFonts w:hint="default" w:ascii="Times New Roman" w:hAnsi="Times New Roman" w:eastAsia="宋体" w:cs="Times New Roman"/>
                <w:color w:val="000000" w:themeColor="text1"/>
                <w:spacing w:val="-2"/>
                <w:szCs w:val="21"/>
                <w:highlight w:val="none"/>
                <w14:textFill>
                  <w14:solidFill>
                    <w14:schemeClr w14:val="tx1"/>
                  </w14:solidFill>
                </w14:textFill>
              </w:rPr>
              <w:t>=9.2</w:t>
            </w:r>
            <w:r>
              <w:rPr>
                <w:rFonts w:hint="default" w:ascii="Times New Roman" w:hAnsi="Times New Roman" w:eastAsia="宋体" w:cs="Times New Roman"/>
                <w:color w:val="000000" w:themeColor="text1"/>
                <w:spacing w:val="-2"/>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pacing w:val="-2"/>
                <w:szCs w:val="21"/>
                <w:highlight w:val="none"/>
                <w14:textFill>
                  <w14:solidFill>
                    <w14:schemeClr w14:val="tx1"/>
                  </w14:solidFill>
                </w14:textFill>
              </w:rPr>
              <w:t>mg/m</w:t>
            </w:r>
            <w:r>
              <w:rPr>
                <w:rFonts w:hint="default" w:ascii="Times New Roman" w:hAnsi="Times New Roman" w:eastAsia="宋体" w:cs="Times New Roman"/>
                <w:color w:val="000000" w:themeColor="text1"/>
                <w:spacing w:val="-2"/>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pacing w:val="-2"/>
                <w:szCs w:val="21"/>
                <w:highlight w:val="none"/>
                <w14:textFill>
                  <w14:solidFill>
                    <w14:schemeClr w14:val="tx1"/>
                  </w14:solidFill>
                </w14:textFill>
              </w:rPr>
              <w:t>。</w:t>
            </w:r>
          </w:p>
          <w:p w14:paraId="3AF72FE3">
            <w:pPr>
              <w:spacing w:line="440" w:lineRule="exact"/>
              <w:ind w:left="-107" w:leftChars="-51"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（4）排放口基本情况</w:t>
            </w:r>
          </w:p>
          <w:p w14:paraId="0C0D8868">
            <w:pPr>
              <w:adjustRightInd w:val="0"/>
              <w:snapToGrid w:val="0"/>
              <w:spacing w:line="440" w:lineRule="exact"/>
              <w:ind w:firstLine="380" w:firstLineChars="200"/>
              <w:rPr>
                <w:rFonts w:hint="default" w:ascii="Times New Roman" w:hAnsi="Times New Roman" w:eastAsia="宋体" w:cs="Times New Roman"/>
                <w:bCs/>
                <w:color w:val="000000" w:themeColor="text1"/>
                <w:spacing w:val="-10"/>
                <w:szCs w:val="21"/>
                <w:highlight w:val="none"/>
                <w14:textFill>
                  <w14:solidFill>
                    <w14:schemeClr w14:val="tx1"/>
                  </w14:solidFill>
                </w14:textFill>
              </w:rPr>
            </w:pPr>
            <w:r>
              <w:rPr>
                <w:rFonts w:hint="default" w:ascii="Times New Roman" w:hAnsi="Times New Roman" w:eastAsia="宋体" w:cs="Times New Roman"/>
                <w:bCs/>
                <w:color w:val="000000" w:themeColor="text1"/>
                <w:spacing w:val="-10"/>
                <w:szCs w:val="21"/>
                <w:highlight w:val="none"/>
                <w14:textFill>
                  <w14:solidFill>
                    <w14:schemeClr w14:val="tx1"/>
                  </w14:solidFill>
                </w14:textFill>
              </w:rPr>
              <w:t>项目污染源排放口基本情况见表4-</w:t>
            </w:r>
            <w:r>
              <w:rPr>
                <w:rFonts w:hint="eastAsia" w:cs="Times New Roman"/>
                <w:bCs/>
                <w:color w:val="000000" w:themeColor="text1"/>
                <w:spacing w:val="-10"/>
                <w:szCs w:val="21"/>
                <w:highlight w:val="none"/>
                <w:lang w:val="en-US" w:eastAsia="zh-CN"/>
                <w14:textFill>
                  <w14:solidFill>
                    <w14:schemeClr w14:val="tx1"/>
                  </w14:solidFill>
                </w14:textFill>
              </w:rPr>
              <w:t>3</w:t>
            </w:r>
            <w:r>
              <w:rPr>
                <w:rFonts w:hint="default" w:ascii="Times New Roman" w:hAnsi="Times New Roman" w:eastAsia="宋体" w:cs="Times New Roman"/>
                <w:bCs/>
                <w:color w:val="000000" w:themeColor="text1"/>
                <w:spacing w:val="-10"/>
                <w:szCs w:val="21"/>
                <w:highlight w:val="none"/>
                <w14:textFill>
                  <w14:solidFill>
                    <w14:schemeClr w14:val="tx1"/>
                  </w14:solidFill>
                </w14:textFill>
              </w:rPr>
              <w:t>。</w:t>
            </w:r>
          </w:p>
          <w:p w14:paraId="606349D6">
            <w:pPr>
              <w:adjustRightInd w:val="0"/>
              <w:snapToGrid w:val="0"/>
              <w:spacing w:line="440" w:lineRule="exact"/>
              <w:ind w:firstLine="420" w:firstLineChars="20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表4-</w:t>
            </w:r>
            <w:r>
              <w:rPr>
                <w:rFonts w:hint="eastAsia" w:cs="Times New Roman"/>
                <w:color w:val="000000" w:themeColor="text1"/>
                <w:sz w:val="2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w:t>
            </w:r>
            <w:r>
              <w:rPr>
                <w:rFonts w:hint="eastAsia"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14:textFill>
                  <w14:solidFill>
                    <w14:schemeClr w14:val="tx1"/>
                  </w14:solidFill>
                </w14:textFill>
              </w:rPr>
              <w:t>本期项目废气有组织排放口基本情况表</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49"/>
              <w:gridCol w:w="821"/>
              <w:gridCol w:w="733"/>
              <w:gridCol w:w="455"/>
              <w:gridCol w:w="512"/>
              <w:gridCol w:w="512"/>
              <w:gridCol w:w="564"/>
              <w:gridCol w:w="691"/>
              <w:gridCol w:w="457"/>
              <w:gridCol w:w="370"/>
              <w:gridCol w:w="507"/>
              <w:gridCol w:w="1633"/>
              <w:gridCol w:w="866"/>
            </w:tblGrid>
            <w:tr w14:paraId="5B148F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vMerge w:val="restart"/>
                  <w:tcBorders>
                    <w:top w:val="single" w:color="auto" w:sz="12" w:space="0"/>
                  </w:tcBorders>
                  <w:vAlign w:val="center"/>
                </w:tcPr>
                <w:p w14:paraId="73ED2F60">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污染源名称</w:t>
                  </w:r>
                </w:p>
              </w:tc>
              <w:tc>
                <w:tcPr>
                  <w:tcW w:w="895" w:type="pct"/>
                  <w:gridSpan w:val="2"/>
                  <w:tcBorders>
                    <w:top w:val="single" w:color="auto" w:sz="12" w:space="0"/>
                    <w:bottom w:val="single" w:color="auto" w:sz="4" w:space="0"/>
                  </w:tcBorders>
                  <w:vAlign w:val="center"/>
                </w:tcPr>
                <w:p w14:paraId="179E6EED">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排气筒底部中心坐标</w:t>
                  </w:r>
                </w:p>
              </w:tc>
              <w:tc>
                <w:tcPr>
                  <w:tcW w:w="262" w:type="pct"/>
                  <w:vMerge w:val="restart"/>
                  <w:tcBorders>
                    <w:top w:val="single" w:color="auto" w:sz="12" w:space="0"/>
                  </w:tcBorders>
                  <w:vAlign w:val="center"/>
                </w:tcPr>
                <w:p w14:paraId="14380896">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排放口类型</w:t>
                  </w:r>
                </w:p>
              </w:tc>
              <w:tc>
                <w:tcPr>
                  <w:tcW w:w="1313" w:type="pct"/>
                  <w:gridSpan w:val="4"/>
                  <w:tcBorders>
                    <w:top w:val="single" w:color="auto" w:sz="12" w:space="0"/>
                  </w:tcBorders>
                  <w:vAlign w:val="center"/>
                </w:tcPr>
                <w:p w14:paraId="217BDF7A">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排气筒参数</w:t>
                  </w:r>
                </w:p>
              </w:tc>
              <w:tc>
                <w:tcPr>
                  <w:tcW w:w="263" w:type="pct"/>
                  <w:vMerge w:val="restart"/>
                  <w:tcBorders>
                    <w:top w:val="single" w:color="auto" w:sz="12" w:space="0"/>
                  </w:tcBorders>
                  <w:vAlign w:val="center"/>
                </w:tcPr>
                <w:p w14:paraId="30C0CA6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排放</w:t>
                  </w:r>
                </w:p>
                <w:p w14:paraId="7372CC3D">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工况</w:t>
                  </w:r>
                </w:p>
              </w:tc>
              <w:tc>
                <w:tcPr>
                  <w:tcW w:w="213" w:type="pct"/>
                  <w:vMerge w:val="restart"/>
                  <w:tcBorders>
                    <w:top w:val="single" w:color="auto" w:sz="12" w:space="0"/>
                  </w:tcBorders>
                  <w:vAlign w:val="center"/>
                </w:tcPr>
                <w:p w14:paraId="350CDB7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污染物名称</w:t>
                  </w:r>
                </w:p>
              </w:tc>
              <w:tc>
                <w:tcPr>
                  <w:tcW w:w="292" w:type="pct"/>
                  <w:vMerge w:val="restart"/>
                  <w:tcBorders>
                    <w:top w:val="single" w:color="auto" w:sz="12" w:space="0"/>
                  </w:tcBorders>
                  <w:vAlign w:val="center"/>
                </w:tcPr>
                <w:p w14:paraId="45F2CD8E">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排放速率(kg/h)</w:t>
                  </w:r>
                </w:p>
              </w:tc>
              <w:tc>
                <w:tcPr>
                  <w:tcW w:w="1440" w:type="pct"/>
                  <w:gridSpan w:val="2"/>
                  <w:vMerge w:val="restart"/>
                  <w:tcBorders>
                    <w:top w:val="single" w:color="auto" w:sz="12" w:space="0"/>
                  </w:tcBorders>
                  <w:vAlign w:val="center"/>
                </w:tcPr>
                <w:p w14:paraId="1865437A">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国家或地方污染物排放标准</w:t>
                  </w:r>
                </w:p>
              </w:tc>
            </w:tr>
            <w:tr w14:paraId="306A42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317" w:type="pct"/>
                  <w:vMerge w:val="continue"/>
                  <w:vAlign w:val="center"/>
                </w:tcPr>
                <w:p w14:paraId="3976FE0A">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473" w:type="pct"/>
                  <w:vMerge w:val="restart"/>
                  <w:tcBorders>
                    <w:top w:val="single" w:color="auto" w:sz="4" w:space="0"/>
                  </w:tcBorders>
                  <w:vAlign w:val="center"/>
                </w:tcPr>
                <w:p w14:paraId="3E0AB908">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经度</w:t>
                  </w:r>
                </w:p>
              </w:tc>
              <w:tc>
                <w:tcPr>
                  <w:tcW w:w="421" w:type="pct"/>
                  <w:vMerge w:val="restart"/>
                  <w:tcBorders>
                    <w:top w:val="single" w:color="auto" w:sz="4" w:space="0"/>
                  </w:tcBorders>
                  <w:vAlign w:val="center"/>
                </w:tcPr>
                <w:p w14:paraId="15AB5D37">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纬度</w:t>
                  </w:r>
                </w:p>
              </w:tc>
              <w:tc>
                <w:tcPr>
                  <w:tcW w:w="262" w:type="pct"/>
                  <w:vMerge w:val="continue"/>
                  <w:vAlign w:val="center"/>
                </w:tcPr>
                <w:p w14:paraId="3AB75FCE">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95" w:type="pct"/>
                  <w:vMerge w:val="restart"/>
                  <w:vAlign w:val="center"/>
                </w:tcPr>
                <w:p w14:paraId="6584813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高度（m）</w:t>
                  </w:r>
                </w:p>
              </w:tc>
              <w:tc>
                <w:tcPr>
                  <w:tcW w:w="295" w:type="pct"/>
                  <w:vMerge w:val="restart"/>
                  <w:tcBorders>
                    <w:top w:val="single" w:color="auto" w:sz="4" w:space="0"/>
                  </w:tcBorders>
                  <w:vAlign w:val="center"/>
                </w:tcPr>
                <w:p w14:paraId="2AC7FD4F">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内径（m）</w:t>
                  </w:r>
                </w:p>
              </w:tc>
              <w:tc>
                <w:tcPr>
                  <w:tcW w:w="325" w:type="pct"/>
                  <w:vMerge w:val="restart"/>
                  <w:tcBorders>
                    <w:top w:val="single" w:color="auto" w:sz="4" w:space="0"/>
                  </w:tcBorders>
                  <w:vAlign w:val="center"/>
                </w:tcPr>
                <w:p w14:paraId="780EEAA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烟气</w:t>
                  </w:r>
                </w:p>
                <w:p w14:paraId="2050D19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温度（℃）</w:t>
                  </w:r>
                </w:p>
              </w:tc>
              <w:tc>
                <w:tcPr>
                  <w:tcW w:w="398" w:type="pct"/>
                  <w:vMerge w:val="restart"/>
                  <w:vAlign w:val="center"/>
                </w:tcPr>
                <w:p w14:paraId="3332FB39">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烟气流速</w:t>
                  </w:r>
                </w:p>
                <w:p w14:paraId="182808EC">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（m/s）</w:t>
                  </w:r>
                </w:p>
              </w:tc>
              <w:tc>
                <w:tcPr>
                  <w:tcW w:w="263" w:type="pct"/>
                  <w:vMerge w:val="continue"/>
                  <w:vAlign w:val="center"/>
                </w:tcPr>
                <w:p w14:paraId="4FA3AB5D">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13" w:type="pct"/>
                  <w:vMerge w:val="continue"/>
                  <w:vAlign w:val="center"/>
                </w:tcPr>
                <w:p w14:paraId="7ABB7DF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92" w:type="pct"/>
                  <w:vMerge w:val="continue"/>
                  <w:vAlign w:val="center"/>
                </w:tcPr>
                <w:p w14:paraId="421D0C6B">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1440" w:type="pct"/>
                  <w:gridSpan w:val="2"/>
                  <w:vMerge w:val="continue"/>
                  <w:tcBorders>
                    <w:bottom w:val="single" w:color="auto" w:sz="4" w:space="0"/>
                  </w:tcBorders>
                  <w:vAlign w:val="center"/>
                </w:tcPr>
                <w:p w14:paraId="52213E20">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r>
            <w:tr w14:paraId="3ADCBE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17" w:type="pct"/>
                  <w:vMerge w:val="continue"/>
                  <w:tcBorders>
                    <w:bottom w:val="double" w:color="auto" w:sz="4" w:space="0"/>
                  </w:tcBorders>
                  <w:vAlign w:val="center"/>
                </w:tcPr>
                <w:p w14:paraId="3FE679BC">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473" w:type="pct"/>
                  <w:vMerge w:val="continue"/>
                  <w:tcBorders>
                    <w:bottom w:val="double" w:color="auto" w:sz="4" w:space="0"/>
                  </w:tcBorders>
                  <w:vAlign w:val="center"/>
                </w:tcPr>
                <w:p w14:paraId="1979BC7F">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421" w:type="pct"/>
                  <w:vMerge w:val="continue"/>
                  <w:tcBorders>
                    <w:bottom w:val="double" w:color="auto" w:sz="4" w:space="0"/>
                  </w:tcBorders>
                  <w:vAlign w:val="center"/>
                </w:tcPr>
                <w:p w14:paraId="25793C09">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62" w:type="pct"/>
                  <w:vMerge w:val="continue"/>
                  <w:tcBorders>
                    <w:bottom w:val="double" w:color="auto" w:sz="4" w:space="0"/>
                  </w:tcBorders>
                  <w:vAlign w:val="center"/>
                </w:tcPr>
                <w:p w14:paraId="6FB73DE5">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95" w:type="pct"/>
                  <w:vMerge w:val="continue"/>
                  <w:tcBorders>
                    <w:bottom w:val="double" w:color="auto" w:sz="4" w:space="0"/>
                  </w:tcBorders>
                  <w:vAlign w:val="center"/>
                </w:tcPr>
                <w:p w14:paraId="0699F3C0">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95" w:type="pct"/>
                  <w:vMerge w:val="continue"/>
                  <w:tcBorders>
                    <w:bottom w:val="double" w:color="auto" w:sz="4" w:space="0"/>
                  </w:tcBorders>
                  <w:vAlign w:val="center"/>
                </w:tcPr>
                <w:p w14:paraId="3AC00EFD">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325" w:type="pct"/>
                  <w:vMerge w:val="continue"/>
                  <w:tcBorders>
                    <w:bottom w:val="double" w:color="auto" w:sz="4" w:space="0"/>
                  </w:tcBorders>
                  <w:vAlign w:val="center"/>
                </w:tcPr>
                <w:p w14:paraId="7EDEBB94">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398" w:type="pct"/>
                  <w:vMerge w:val="continue"/>
                  <w:tcBorders>
                    <w:bottom w:val="double" w:color="auto" w:sz="4" w:space="0"/>
                  </w:tcBorders>
                  <w:vAlign w:val="center"/>
                </w:tcPr>
                <w:p w14:paraId="3EA9AA09">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63" w:type="pct"/>
                  <w:vMerge w:val="continue"/>
                  <w:tcBorders>
                    <w:bottom w:val="double" w:color="auto" w:sz="4" w:space="0"/>
                  </w:tcBorders>
                  <w:vAlign w:val="center"/>
                </w:tcPr>
                <w:p w14:paraId="41A88AB7">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13" w:type="pct"/>
                  <w:vMerge w:val="continue"/>
                  <w:tcBorders>
                    <w:bottom w:val="double" w:color="auto" w:sz="4" w:space="0"/>
                  </w:tcBorders>
                  <w:vAlign w:val="center"/>
                </w:tcPr>
                <w:p w14:paraId="0B311EC1">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92" w:type="pct"/>
                  <w:vMerge w:val="continue"/>
                  <w:tcBorders>
                    <w:bottom w:val="double" w:color="auto" w:sz="4" w:space="0"/>
                  </w:tcBorders>
                  <w:vAlign w:val="center"/>
                </w:tcPr>
                <w:p w14:paraId="7DB9AE3C">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941" w:type="pct"/>
                  <w:tcBorders>
                    <w:bottom w:val="double" w:color="auto" w:sz="4" w:space="0"/>
                  </w:tcBorders>
                  <w:vAlign w:val="center"/>
                </w:tcPr>
                <w:p w14:paraId="2783926A">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r>
                    <w:rPr>
                      <w:rFonts w:eastAsia="宋体"/>
                      <w:b w:val="0"/>
                      <w:bCs/>
                      <w:color w:val="000000" w:themeColor="text1"/>
                      <w:sz w:val="18"/>
                      <w:szCs w:val="18"/>
                      <w:highlight w:val="none"/>
                      <w14:textFill>
                        <w14:solidFill>
                          <w14:schemeClr w14:val="tx1"/>
                        </w14:solidFill>
                      </w14:textFill>
                    </w:rPr>
                    <w:t>标准名称</w:t>
                  </w:r>
                </w:p>
              </w:tc>
              <w:tc>
                <w:tcPr>
                  <w:tcW w:w="499" w:type="pct"/>
                  <w:tcBorders>
                    <w:bottom w:val="double" w:color="auto" w:sz="4" w:space="0"/>
                  </w:tcBorders>
                  <w:vAlign w:val="center"/>
                </w:tcPr>
                <w:p w14:paraId="12FBFF6A">
                  <w:pPr>
                    <w:jc w:val="center"/>
                    <w:rPr>
                      <w:bCs/>
                      <w:color w:val="000000" w:themeColor="text1"/>
                      <w:sz w:val="18"/>
                      <w:szCs w:val="18"/>
                      <w:highlight w:val="none"/>
                      <w14:textFill>
                        <w14:solidFill>
                          <w14:schemeClr w14:val="tx1"/>
                        </w14:solidFill>
                      </w14:textFill>
                    </w:rPr>
                  </w:pPr>
                  <w:r>
                    <w:rPr>
                      <w:bCs/>
                      <w:color w:val="000000" w:themeColor="text1"/>
                      <w:sz w:val="18"/>
                      <w:szCs w:val="18"/>
                      <w:highlight w:val="none"/>
                      <w14:textFill>
                        <w14:solidFill>
                          <w14:schemeClr w14:val="tx1"/>
                        </w14:solidFill>
                      </w14:textFill>
                    </w:rPr>
                    <w:t>浓度限值</w:t>
                  </w:r>
                </w:p>
                <w:p w14:paraId="635FB40E">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r>
                    <w:rPr>
                      <w:rFonts w:eastAsia="宋体"/>
                      <w:b w:val="0"/>
                      <w:bCs/>
                      <w:color w:val="000000" w:themeColor="text1"/>
                      <w:sz w:val="18"/>
                      <w:szCs w:val="18"/>
                      <w:highlight w:val="none"/>
                      <w14:textFill>
                        <w14:solidFill>
                          <w14:schemeClr w14:val="tx1"/>
                        </w14:solidFill>
                      </w14:textFill>
                    </w:rPr>
                    <w:t>（mg/m</w:t>
                  </w:r>
                  <w:r>
                    <w:rPr>
                      <w:rFonts w:eastAsia="宋体"/>
                      <w:b w:val="0"/>
                      <w:bCs/>
                      <w:color w:val="000000" w:themeColor="text1"/>
                      <w:sz w:val="18"/>
                      <w:szCs w:val="18"/>
                      <w:highlight w:val="none"/>
                      <w:vertAlign w:val="superscript"/>
                      <w14:textFill>
                        <w14:solidFill>
                          <w14:schemeClr w14:val="tx1"/>
                        </w14:solidFill>
                      </w14:textFill>
                    </w:rPr>
                    <w:t>3</w:t>
                  </w:r>
                  <w:r>
                    <w:rPr>
                      <w:rFonts w:eastAsia="宋体"/>
                      <w:b w:val="0"/>
                      <w:bCs/>
                      <w:color w:val="000000" w:themeColor="text1"/>
                      <w:sz w:val="18"/>
                      <w:szCs w:val="18"/>
                      <w:highlight w:val="none"/>
                      <w14:textFill>
                        <w14:solidFill>
                          <w14:schemeClr w14:val="tx1"/>
                        </w14:solidFill>
                      </w14:textFill>
                    </w:rPr>
                    <w:t>）</w:t>
                  </w:r>
                </w:p>
              </w:tc>
            </w:tr>
            <w:tr w14:paraId="711560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317" w:type="pct"/>
                  <w:vMerge w:val="restart"/>
                  <w:tcBorders>
                    <w:top w:val="single" w:color="auto" w:sz="4" w:space="0"/>
                  </w:tcBorders>
                  <w:vAlign w:val="center"/>
                </w:tcPr>
                <w:p w14:paraId="7B38FD79">
                  <w:pPr>
                    <w:pStyle w:val="6"/>
                    <w:snapToGrid w:val="0"/>
                    <w:spacing w:line="240" w:lineRule="auto"/>
                    <w:ind w:left="0" w:firstLine="0"/>
                    <w:jc w:val="center"/>
                    <w:rPr>
                      <w:rFonts w:hint="default" w:eastAsia="宋体"/>
                      <w:b w:val="0"/>
                      <w:color w:val="000000" w:themeColor="text1"/>
                      <w:sz w:val="18"/>
                      <w:szCs w:val="18"/>
                      <w:highlight w:val="none"/>
                      <w:lang w:val="en-US" w:eastAsia="zh-CN"/>
                      <w14:textFill>
                        <w14:solidFill>
                          <w14:schemeClr w14:val="tx1"/>
                        </w14:solidFill>
                      </w14:textFill>
                    </w:rPr>
                  </w:pPr>
                  <w:r>
                    <w:rPr>
                      <w:rFonts w:hint="eastAsia" w:eastAsia="宋体"/>
                      <w:b w:val="0"/>
                      <w:color w:val="000000" w:themeColor="text1"/>
                      <w:sz w:val="18"/>
                      <w:szCs w:val="18"/>
                      <w:highlight w:val="none"/>
                      <w:lang w:val="en-US" w:eastAsia="zh-CN"/>
                      <w14:textFill>
                        <w14:solidFill>
                          <w14:schemeClr w14:val="tx1"/>
                        </w14:solidFill>
                      </w14:textFill>
                    </w:rPr>
                    <w:t>100t/h燃气锅炉DA004</w:t>
                  </w:r>
                </w:p>
              </w:tc>
              <w:tc>
                <w:tcPr>
                  <w:tcW w:w="473" w:type="pct"/>
                  <w:vMerge w:val="restart"/>
                  <w:tcBorders>
                    <w:top w:val="single" w:color="auto" w:sz="4" w:space="0"/>
                  </w:tcBorders>
                  <w:vAlign w:val="center"/>
                </w:tcPr>
                <w:p w14:paraId="33139BA9">
                  <w:pPr>
                    <w:jc w:val="center"/>
                    <w:rPr>
                      <w:rFonts w:hint="eastAsia"/>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120°37′</w:t>
                  </w:r>
                </w:p>
                <w:p w14:paraId="6D4BA864">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35.29″</w:t>
                  </w:r>
                </w:p>
              </w:tc>
              <w:tc>
                <w:tcPr>
                  <w:tcW w:w="421" w:type="pct"/>
                  <w:vMerge w:val="restart"/>
                  <w:tcBorders>
                    <w:top w:val="double" w:color="auto" w:sz="4" w:space="0"/>
                  </w:tcBorders>
                  <w:vAlign w:val="center"/>
                </w:tcPr>
                <w:p w14:paraId="497DD693">
                  <w:pPr>
                    <w:jc w:val="center"/>
                    <w:rPr>
                      <w:rFonts w:hint="eastAsia"/>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30°58′</w:t>
                  </w:r>
                </w:p>
                <w:p w14:paraId="5588FF4A">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23.88″</w:t>
                  </w:r>
                </w:p>
              </w:tc>
              <w:tc>
                <w:tcPr>
                  <w:tcW w:w="262" w:type="pct"/>
                  <w:vMerge w:val="restart"/>
                  <w:tcBorders>
                    <w:top w:val="double" w:color="auto" w:sz="4" w:space="0"/>
                  </w:tcBorders>
                  <w:vAlign w:val="center"/>
                </w:tcPr>
                <w:p w14:paraId="285AEC04">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r>
                    <w:rPr>
                      <w:rFonts w:hint="eastAsia" w:eastAsia="宋体"/>
                      <w:b w:val="0"/>
                      <w:bCs/>
                      <w:color w:val="000000" w:themeColor="text1"/>
                      <w:sz w:val="18"/>
                      <w:szCs w:val="18"/>
                      <w:highlight w:val="none"/>
                      <w:lang w:val="en-US" w:eastAsia="zh-CN"/>
                      <w14:textFill>
                        <w14:solidFill>
                          <w14:schemeClr w14:val="tx1"/>
                        </w14:solidFill>
                      </w14:textFill>
                    </w:rPr>
                    <w:t>主要</w:t>
                  </w:r>
                  <w:r>
                    <w:rPr>
                      <w:rFonts w:hint="eastAsia" w:eastAsia="宋体"/>
                      <w:b w:val="0"/>
                      <w:bCs/>
                      <w:color w:val="000000" w:themeColor="text1"/>
                      <w:sz w:val="18"/>
                      <w:szCs w:val="18"/>
                      <w:highlight w:val="none"/>
                      <w14:textFill>
                        <w14:solidFill>
                          <w14:schemeClr w14:val="tx1"/>
                        </w14:solidFill>
                      </w14:textFill>
                    </w:rPr>
                    <w:t>排放口</w:t>
                  </w:r>
                </w:p>
              </w:tc>
              <w:tc>
                <w:tcPr>
                  <w:tcW w:w="295" w:type="pct"/>
                  <w:vMerge w:val="restart"/>
                  <w:tcBorders>
                    <w:top w:val="double" w:color="auto" w:sz="4" w:space="0"/>
                  </w:tcBorders>
                  <w:vAlign w:val="center"/>
                </w:tcPr>
                <w:p w14:paraId="1AB28E6F">
                  <w:pPr>
                    <w:pStyle w:val="6"/>
                    <w:snapToGrid w:val="0"/>
                    <w:spacing w:line="240" w:lineRule="auto"/>
                    <w:ind w:left="0" w:firstLine="0"/>
                    <w:jc w:val="center"/>
                    <w:rPr>
                      <w:rFonts w:hint="default" w:eastAsia="宋体"/>
                      <w:b w:val="0"/>
                      <w:bCs/>
                      <w:color w:val="000000" w:themeColor="text1"/>
                      <w:sz w:val="18"/>
                      <w:szCs w:val="18"/>
                      <w:highlight w:val="none"/>
                      <w:lang w:val="en-US" w:eastAsia="zh-CN"/>
                      <w14:textFill>
                        <w14:solidFill>
                          <w14:schemeClr w14:val="tx1"/>
                        </w14:solidFill>
                      </w14:textFill>
                    </w:rPr>
                  </w:pPr>
                  <w:r>
                    <w:rPr>
                      <w:rFonts w:hint="eastAsia" w:eastAsia="宋体"/>
                      <w:b w:val="0"/>
                      <w:bCs/>
                      <w:color w:val="000000" w:themeColor="text1"/>
                      <w:sz w:val="18"/>
                      <w:szCs w:val="18"/>
                      <w:highlight w:val="none"/>
                      <w:lang w:val="en-US" w:eastAsia="zh-CN"/>
                      <w14:textFill>
                        <w14:solidFill>
                          <w14:schemeClr w14:val="tx1"/>
                        </w14:solidFill>
                      </w14:textFill>
                    </w:rPr>
                    <w:t>25</w:t>
                  </w:r>
                </w:p>
              </w:tc>
              <w:tc>
                <w:tcPr>
                  <w:tcW w:w="295" w:type="pct"/>
                  <w:vMerge w:val="restart"/>
                  <w:tcBorders>
                    <w:top w:val="single" w:color="auto" w:sz="4" w:space="0"/>
                  </w:tcBorders>
                  <w:vAlign w:val="center"/>
                </w:tcPr>
                <w:p w14:paraId="776F069F">
                  <w:pPr>
                    <w:pStyle w:val="6"/>
                    <w:snapToGrid w:val="0"/>
                    <w:spacing w:line="240" w:lineRule="auto"/>
                    <w:ind w:left="0" w:firstLine="0"/>
                    <w:jc w:val="center"/>
                    <w:rPr>
                      <w:rFonts w:hint="default" w:eastAsia="宋体"/>
                      <w:b w:val="0"/>
                      <w:bCs/>
                      <w:color w:val="000000" w:themeColor="text1"/>
                      <w:sz w:val="18"/>
                      <w:szCs w:val="18"/>
                      <w:highlight w:val="none"/>
                      <w:lang w:val="en-US" w:eastAsia="zh-CN"/>
                      <w14:textFill>
                        <w14:solidFill>
                          <w14:schemeClr w14:val="tx1"/>
                        </w14:solidFill>
                      </w14:textFill>
                    </w:rPr>
                  </w:pPr>
                  <w:r>
                    <w:rPr>
                      <w:rFonts w:hint="eastAsia" w:eastAsia="宋体"/>
                      <w:b w:val="0"/>
                      <w:color w:val="000000" w:themeColor="text1"/>
                      <w:sz w:val="18"/>
                      <w:szCs w:val="18"/>
                      <w:highlight w:val="none"/>
                      <w:lang w:val="en-US" w:eastAsia="zh-CN"/>
                      <w14:textFill>
                        <w14:solidFill>
                          <w14:schemeClr w14:val="tx1"/>
                        </w14:solidFill>
                      </w14:textFill>
                    </w:rPr>
                    <w:t>2.0</w:t>
                  </w:r>
                </w:p>
              </w:tc>
              <w:tc>
                <w:tcPr>
                  <w:tcW w:w="325" w:type="pct"/>
                  <w:vMerge w:val="restart"/>
                  <w:tcBorders>
                    <w:top w:val="single" w:color="auto" w:sz="4" w:space="0"/>
                  </w:tcBorders>
                  <w:vAlign w:val="center"/>
                </w:tcPr>
                <w:p w14:paraId="3DD2A754">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r>
                    <w:rPr>
                      <w:rFonts w:eastAsia="宋体"/>
                      <w:b w:val="0"/>
                      <w:bCs/>
                      <w:color w:val="000000" w:themeColor="text1"/>
                      <w:sz w:val="18"/>
                      <w:szCs w:val="18"/>
                      <w:highlight w:val="none"/>
                      <w14:textFill>
                        <w14:solidFill>
                          <w14:schemeClr w14:val="tx1"/>
                        </w14:solidFill>
                      </w14:textFill>
                    </w:rPr>
                    <w:t>60</w:t>
                  </w:r>
                </w:p>
              </w:tc>
              <w:tc>
                <w:tcPr>
                  <w:tcW w:w="398" w:type="pct"/>
                  <w:vMerge w:val="restart"/>
                  <w:tcBorders>
                    <w:top w:val="single" w:color="auto" w:sz="4" w:space="0"/>
                  </w:tcBorders>
                  <w:vAlign w:val="center"/>
                </w:tcPr>
                <w:p w14:paraId="4B6465FB">
                  <w:pPr>
                    <w:pStyle w:val="6"/>
                    <w:snapToGrid w:val="0"/>
                    <w:spacing w:line="240" w:lineRule="auto"/>
                    <w:ind w:left="0" w:firstLine="0"/>
                    <w:jc w:val="center"/>
                    <w:rPr>
                      <w:rFonts w:hint="default" w:eastAsia="宋体"/>
                      <w:b w:val="0"/>
                      <w:color w:val="000000" w:themeColor="text1"/>
                      <w:sz w:val="18"/>
                      <w:szCs w:val="18"/>
                      <w:highlight w:val="none"/>
                      <w:lang w:val="en-US" w:eastAsia="zh-CN"/>
                      <w14:textFill>
                        <w14:solidFill>
                          <w14:schemeClr w14:val="tx1"/>
                        </w14:solidFill>
                      </w14:textFill>
                    </w:rPr>
                  </w:pPr>
                  <w:r>
                    <w:rPr>
                      <w:rFonts w:hint="eastAsia" w:eastAsia="宋体"/>
                      <w:b w:val="0"/>
                      <w:color w:val="000000" w:themeColor="text1"/>
                      <w:sz w:val="18"/>
                      <w:szCs w:val="18"/>
                      <w:highlight w:val="none"/>
                      <w:lang w:val="en-US" w:eastAsia="zh-CN"/>
                      <w14:textFill>
                        <w14:solidFill>
                          <w14:schemeClr w14:val="tx1"/>
                        </w14:solidFill>
                      </w14:textFill>
                    </w:rPr>
                    <w:t>8.4</w:t>
                  </w:r>
                </w:p>
              </w:tc>
              <w:tc>
                <w:tcPr>
                  <w:tcW w:w="263" w:type="pct"/>
                  <w:vMerge w:val="restart"/>
                  <w:tcBorders>
                    <w:top w:val="single" w:color="auto" w:sz="4" w:space="0"/>
                  </w:tcBorders>
                  <w:vAlign w:val="center"/>
                </w:tcPr>
                <w:p w14:paraId="52626251">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r>
                    <w:rPr>
                      <w:rFonts w:eastAsia="宋体"/>
                      <w:b w:val="0"/>
                      <w:color w:val="000000" w:themeColor="text1"/>
                      <w:sz w:val="18"/>
                      <w:szCs w:val="18"/>
                      <w:highlight w:val="none"/>
                      <w14:textFill>
                        <w14:solidFill>
                          <w14:schemeClr w14:val="tx1"/>
                        </w14:solidFill>
                      </w14:textFill>
                    </w:rPr>
                    <w:t>正常</w:t>
                  </w:r>
                </w:p>
              </w:tc>
              <w:tc>
                <w:tcPr>
                  <w:tcW w:w="213" w:type="pct"/>
                  <w:tcBorders>
                    <w:top w:val="single" w:color="auto" w:sz="4" w:space="0"/>
                    <w:bottom w:val="single" w:color="auto" w:sz="4" w:space="0"/>
                  </w:tcBorders>
                  <w:vAlign w:val="center"/>
                </w:tcPr>
                <w:p w14:paraId="07A9E66B">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二氧化硫</w:t>
                  </w:r>
                </w:p>
              </w:tc>
              <w:tc>
                <w:tcPr>
                  <w:tcW w:w="292" w:type="pct"/>
                  <w:tcBorders>
                    <w:top w:val="single" w:color="auto" w:sz="4" w:space="0"/>
                  </w:tcBorders>
                  <w:vAlign w:val="center"/>
                </w:tcPr>
                <w:p w14:paraId="12EB5524">
                  <w:pPr>
                    <w:spacing w:line="240" w:lineRule="exact"/>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1.06</w:t>
                  </w:r>
                </w:p>
              </w:tc>
              <w:tc>
                <w:tcPr>
                  <w:tcW w:w="941" w:type="pct"/>
                  <w:vMerge w:val="restart"/>
                  <w:vAlign w:val="center"/>
                </w:tcPr>
                <w:p w14:paraId="2BF1CE59">
                  <w:pPr>
                    <w:jc w:val="center"/>
                    <w:rPr>
                      <w:color w:val="000000" w:themeColor="text1"/>
                      <w:kern w:val="0"/>
                      <w:sz w:val="18"/>
                      <w:szCs w:val="18"/>
                      <w:highlight w:val="none"/>
                      <w14:textFill>
                        <w14:solidFill>
                          <w14:schemeClr w14:val="tx1"/>
                        </w14:solidFill>
                      </w14:textFill>
                    </w:rPr>
                  </w:pPr>
                  <w:r>
                    <w:rPr>
                      <w:rFonts w:ascii="宋体" w:hAnsi="宋体"/>
                      <w:color w:val="000000" w:themeColor="text1"/>
                      <w:sz w:val="18"/>
                      <w:szCs w:val="18"/>
                      <w:highlight w:val="none"/>
                      <w14:textFill>
                        <w14:solidFill>
                          <w14:schemeClr w14:val="tx1"/>
                        </w14:solidFill>
                      </w14:textFill>
                    </w:rPr>
                    <w:t>《</w:t>
                  </w:r>
                  <w:r>
                    <w:rPr>
                      <w:rFonts w:hint="eastAsia" w:ascii="宋体" w:hAnsi="宋体"/>
                      <w:color w:val="000000" w:themeColor="text1"/>
                      <w:sz w:val="18"/>
                      <w:szCs w:val="18"/>
                      <w:highlight w:val="none"/>
                      <w14:textFill>
                        <w14:solidFill>
                          <w14:schemeClr w14:val="tx1"/>
                        </w14:solidFill>
                      </w14:textFill>
                    </w:rPr>
                    <w:t>锅炉</w:t>
                  </w:r>
                  <w:r>
                    <w:rPr>
                      <w:rFonts w:ascii="宋体" w:hAnsi="宋体"/>
                      <w:color w:val="000000" w:themeColor="text1"/>
                      <w:sz w:val="18"/>
                      <w:szCs w:val="18"/>
                      <w:highlight w:val="none"/>
                      <w14:textFill>
                        <w14:solidFill>
                          <w14:schemeClr w14:val="tx1"/>
                        </w14:solidFill>
                      </w14:textFill>
                    </w:rPr>
                    <w:t>大气污染物排放标准》（</w:t>
                  </w:r>
                  <w:r>
                    <w:rPr>
                      <w:color w:val="000000" w:themeColor="text1"/>
                      <w:sz w:val="18"/>
                      <w:szCs w:val="18"/>
                      <w:highlight w:val="none"/>
                      <w14:textFill>
                        <w14:solidFill>
                          <w14:schemeClr w14:val="tx1"/>
                        </w14:solidFill>
                      </w14:textFill>
                    </w:rPr>
                    <w:t>DB32/4385-2022</w:t>
                  </w:r>
                  <w:r>
                    <w:rPr>
                      <w:rFonts w:ascii="宋体" w:hAnsi="宋体"/>
                      <w:color w:val="000000" w:themeColor="text1"/>
                      <w:sz w:val="18"/>
                      <w:szCs w:val="18"/>
                      <w:highlight w:val="none"/>
                      <w14:textFill>
                        <w14:solidFill>
                          <w14:schemeClr w14:val="tx1"/>
                        </w14:solidFill>
                      </w14:textFill>
                    </w:rPr>
                    <w:t>）</w:t>
                  </w:r>
                </w:p>
              </w:tc>
              <w:tc>
                <w:tcPr>
                  <w:tcW w:w="499" w:type="pct"/>
                  <w:tcBorders>
                    <w:top w:val="single" w:color="auto" w:sz="4" w:space="0"/>
                  </w:tcBorders>
                  <w:vAlign w:val="center"/>
                </w:tcPr>
                <w:p w14:paraId="0BAA5EAB">
                  <w:pPr>
                    <w:spacing w:line="240" w:lineRule="exact"/>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35</w:t>
                  </w:r>
                </w:p>
              </w:tc>
            </w:tr>
            <w:tr w14:paraId="57879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17" w:type="pct"/>
                  <w:vMerge w:val="continue"/>
                  <w:vAlign w:val="center"/>
                </w:tcPr>
                <w:p w14:paraId="2DCADA73">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473" w:type="pct"/>
                  <w:vMerge w:val="continue"/>
                  <w:vAlign w:val="center"/>
                </w:tcPr>
                <w:p w14:paraId="1801454D">
                  <w:pPr>
                    <w:jc w:val="center"/>
                    <w:rPr>
                      <w:color w:val="000000" w:themeColor="text1"/>
                      <w:sz w:val="18"/>
                      <w:szCs w:val="18"/>
                      <w:highlight w:val="none"/>
                      <w14:textFill>
                        <w14:solidFill>
                          <w14:schemeClr w14:val="tx1"/>
                        </w14:solidFill>
                      </w14:textFill>
                    </w:rPr>
                  </w:pPr>
                </w:p>
              </w:tc>
              <w:tc>
                <w:tcPr>
                  <w:tcW w:w="421" w:type="pct"/>
                  <w:vMerge w:val="continue"/>
                  <w:vAlign w:val="center"/>
                </w:tcPr>
                <w:p w14:paraId="3494CF81">
                  <w:pPr>
                    <w:jc w:val="center"/>
                    <w:rPr>
                      <w:color w:val="000000" w:themeColor="text1"/>
                      <w:sz w:val="18"/>
                      <w:szCs w:val="18"/>
                      <w:highlight w:val="none"/>
                      <w14:textFill>
                        <w14:solidFill>
                          <w14:schemeClr w14:val="tx1"/>
                        </w14:solidFill>
                      </w14:textFill>
                    </w:rPr>
                  </w:pPr>
                </w:p>
              </w:tc>
              <w:tc>
                <w:tcPr>
                  <w:tcW w:w="262" w:type="pct"/>
                  <w:vMerge w:val="continue"/>
                  <w:vAlign w:val="center"/>
                </w:tcPr>
                <w:p w14:paraId="76B1A779">
                  <w:pPr>
                    <w:pStyle w:val="6"/>
                    <w:snapToGrid w:val="0"/>
                    <w:spacing w:line="240" w:lineRule="auto"/>
                    <w:ind w:left="0"/>
                    <w:jc w:val="center"/>
                    <w:rPr>
                      <w:rFonts w:eastAsia="宋体"/>
                      <w:b w:val="0"/>
                      <w:bCs/>
                      <w:color w:val="000000" w:themeColor="text1"/>
                      <w:sz w:val="18"/>
                      <w:szCs w:val="18"/>
                      <w:highlight w:val="none"/>
                      <w14:textFill>
                        <w14:solidFill>
                          <w14:schemeClr w14:val="tx1"/>
                        </w14:solidFill>
                      </w14:textFill>
                    </w:rPr>
                  </w:pPr>
                </w:p>
              </w:tc>
              <w:tc>
                <w:tcPr>
                  <w:tcW w:w="295" w:type="pct"/>
                  <w:vMerge w:val="continue"/>
                  <w:tcBorders>
                    <w:top w:val="double" w:color="auto" w:sz="4" w:space="0"/>
                  </w:tcBorders>
                  <w:vAlign w:val="center"/>
                </w:tcPr>
                <w:p w14:paraId="663355E1">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295" w:type="pct"/>
                  <w:vMerge w:val="continue"/>
                  <w:vAlign w:val="center"/>
                </w:tcPr>
                <w:p w14:paraId="0F6F1CCF">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325" w:type="pct"/>
                  <w:vMerge w:val="continue"/>
                  <w:vAlign w:val="center"/>
                </w:tcPr>
                <w:p w14:paraId="73606682">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398" w:type="pct"/>
                  <w:vMerge w:val="continue"/>
                  <w:vAlign w:val="center"/>
                </w:tcPr>
                <w:p w14:paraId="428056DE">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63" w:type="pct"/>
                  <w:vMerge w:val="continue"/>
                  <w:vAlign w:val="center"/>
                </w:tcPr>
                <w:p w14:paraId="1414AFFF">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13" w:type="pct"/>
                  <w:tcBorders>
                    <w:top w:val="single" w:color="auto" w:sz="4" w:space="0"/>
                    <w:bottom w:val="single" w:color="auto" w:sz="4" w:space="0"/>
                  </w:tcBorders>
                  <w:vAlign w:val="center"/>
                </w:tcPr>
                <w:p w14:paraId="324B58B5">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氮氧化物</w:t>
                  </w:r>
                </w:p>
              </w:tc>
              <w:tc>
                <w:tcPr>
                  <w:tcW w:w="292" w:type="pct"/>
                  <w:vAlign w:val="center"/>
                </w:tcPr>
                <w:p w14:paraId="063F8466">
                  <w:pPr>
                    <w:spacing w:line="240" w:lineRule="exact"/>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2.69</w:t>
                  </w:r>
                </w:p>
              </w:tc>
              <w:tc>
                <w:tcPr>
                  <w:tcW w:w="941" w:type="pct"/>
                  <w:vMerge w:val="continue"/>
                  <w:vAlign w:val="center"/>
                </w:tcPr>
                <w:p w14:paraId="57C55627">
                  <w:pPr>
                    <w:spacing w:line="240" w:lineRule="exact"/>
                    <w:jc w:val="center"/>
                    <w:rPr>
                      <w:color w:val="000000" w:themeColor="text1"/>
                      <w:sz w:val="18"/>
                      <w:szCs w:val="18"/>
                      <w:highlight w:val="none"/>
                      <w14:textFill>
                        <w14:solidFill>
                          <w14:schemeClr w14:val="tx1"/>
                        </w14:solidFill>
                      </w14:textFill>
                    </w:rPr>
                  </w:pPr>
                </w:p>
              </w:tc>
              <w:tc>
                <w:tcPr>
                  <w:tcW w:w="499" w:type="pct"/>
                  <w:vAlign w:val="center"/>
                </w:tcPr>
                <w:p w14:paraId="58EC6573">
                  <w:pPr>
                    <w:spacing w:line="240" w:lineRule="exact"/>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50</w:t>
                  </w:r>
                </w:p>
              </w:tc>
            </w:tr>
            <w:tr w14:paraId="0DEDBA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317" w:type="pct"/>
                  <w:vMerge w:val="continue"/>
                  <w:vAlign w:val="center"/>
                </w:tcPr>
                <w:p w14:paraId="783F1071">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473" w:type="pct"/>
                  <w:vMerge w:val="continue"/>
                  <w:vAlign w:val="center"/>
                </w:tcPr>
                <w:p w14:paraId="5D28A9B6">
                  <w:pPr>
                    <w:jc w:val="center"/>
                    <w:rPr>
                      <w:color w:val="000000" w:themeColor="text1"/>
                      <w:sz w:val="18"/>
                      <w:szCs w:val="18"/>
                      <w:highlight w:val="none"/>
                      <w14:textFill>
                        <w14:solidFill>
                          <w14:schemeClr w14:val="tx1"/>
                        </w14:solidFill>
                      </w14:textFill>
                    </w:rPr>
                  </w:pPr>
                </w:p>
              </w:tc>
              <w:tc>
                <w:tcPr>
                  <w:tcW w:w="421" w:type="pct"/>
                  <w:vMerge w:val="continue"/>
                  <w:vAlign w:val="center"/>
                </w:tcPr>
                <w:p w14:paraId="75B78AE0">
                  <w:pPr>
                    <w:jc w:val="center"/>
                    <w:rPr>
                      <w:color w:val="000000" w:themeColor="text1"/>
                      <w:sz w:val="18"/>
                      <w:szCs w:val="18"/>
                      <w:highlight w:val="none"/>
                      <w14:textFill>
                        <w14:solidFill>
                          <w14:schemeClr w14:val="tx1"/>
                        </w14:solidFill>
                      </w14:textFill>
                    </w:rPr>
                  </w:pPr>
                </w:p>
              </w:tc>
              <w:tc>
                <w:tcPr>
                  <w:tcW w:w="262" w:type="pct"/>
                  <w:vMerge w:val="continue"/>
                  <w:vAlign w:val="center"/>
                </w:tcPr>
                <w:p w14:paraId="3C092624">
                  <w:pPr>
                    <w:pStyle w:val="6"/>
                    <w:snapToGrid w:val="0"/>
                    <w:spacing w:line="240" w:lineRule="auto"/>
                    <w:ind w:left="0"/>
                    <w:jc w:val="center"/>
                    <w:rPr>
                      <w:rFonts w:eastAsia="宋体"/>
                      <w:b w:val="0"/>
                      <w:bCs/>
                      <w:color w:val="000000" w:themeColor="text1"/>
                      <w:sz w:val="18"/>
                      <w:szCs w:val="18"/>
                      <w:highlight w:val="none"/>
                      <w14:textFill>
                        <w14:solidFill>
                          <w14:schemeClr w14:val="tx1"/>
                        </w14:solidFill>
                      </w14:textFill>
                    </w:rPr>
                  </w:pPr>
                </w:p>
              </w:tc>
              <w:tc>
                <w:tcPr>
                  <w:tcW w:w="295" w:type="pct"/>
                  <w:vMerge w:val="continue"/>
                  <w:tcBorders>
                    <w:top w:val="double" w:color="auto" w:sz="4" w:space="0"/>
                  </w:tcBorders>
                  <w:vAlign w:val="center"/>
                </w:tcPr>
                <w:p w14:paraId="5A60B9BD">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295" w:type="pct"/>
                  <w:vMerge w:val="continue"/>
                  <w:vAlign w:val="center"/>
                </w:tcPr>
                <w:p w14:paraId="2EFADA07">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325" w:type="pct"/>
                  <w:vMerge w:val="continue"/>
                  <w:vAlign w:val="center"/>
                </w:tcPr>
                <w:p w14:paraId="68A8C226">
                  <w:pPr>
                    <w:pStyle w:val="6"/>
                    <w:snapToGrid w:val="0"/>
                    <w:spacing w:line="240" w:lineRule="auto"/>
                    <w:ind w:left="0" w:firstLine="0"/>
                    <w:jc w:val="center"/>
                    <w:rPr>
                      <w:rFonts w:eastAsia="宋体"/>
                      <w:b w:val="0"/>
                      <w:bCs/>
                      <w:color w:val="000000" w:themeColor="text1"/>
                      <w:sz w:val="18"/>
                      <w:szCs w:val="18"/>
                      <w:highlight w:val="none"/>
                      <w14:textFill>
                        <w14:solidFill>
                          <w14:schemeClr w14:val="tx1"/>
                        </w14:solidFill>
                      </w14:textFill>
                    </w:rPr>
                  </w:pPr>
                </w:p>
              </w:tc>
              <w:tc>
                <w:tcPr>
                  <w:tcW w:w="398" w:type="pct"/>
                  <w:vMerge w:val="continue"/>
                  <w:vAlign w:val="center"/>
                </w:tcPr>
                <w:p w14:paraId="39B1A08F">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63" w:type="pct"/>
                  <w:vMerge w:val="continue"/>
                  <w:vAlign w:val="center"/>
                </w:tcPr>
                <w:p w14:paraId="2FA7A71A">
                  <w:pPr>
                    <w:pStyle w:val="6"/>
                    <w:snapToGrid w:val="0"/>
                    <w:spacing w:line="240" w:lineRule="auto"/>
                    <w:ind w:left="0" w:firstLine="0"/>
                    <w:jc w:val="center"/>
                    <w:rPr>
                      <w:rFonts w:eastAsia="宋体"/>
                      <w:b w:val="0"/>
                      <w:color w:val="000000" w:themeColor="text1"/>
                      <w:sz w:val="18"/>
                      <w:szCs w:val="18"/>
                      <w:highlight w:val="none"/>
                      <w14:textFill>
                        <w14:solidFill>
                          <w14:schemeClr w14:val="tx1"/>
                        </w14:solidFill>
                      </w14:textFill>
                    </w:rPr>
                  </w:pPr>
                </w:p>
              </w:tc>
              <w:tc>
                <w:tcPr>
                  <w:tcW w:w="213" w:type="pct"/>
                  <w:tcBorders>
                    <w:top w:val="single" w:color="auto" w:sz="4" w:space="0"/>
                    <w:bottom w:val="single" w:color="auto" w:sz="12" w:space="0"/>
                  </w:tcBorders>
                  <w:vAlign w:val="center"/>
                </w:tcPr>
                <w:p w14:paraId="61DED7A7">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颗粒物</w:t>
                  </w:r>
                </w:p>
              </w:tc>
              <w:tc>
                <w:tcPr>
                  <w:tcW w:w="292" w:type="pct"/>
                  <w:tcBorders>
                    <w:bottom w:val="single" w:color="auto" w:sz="12" w:space="0"/>
                  </w:tcBorders>
                  <w:vAlign w:val="center"/>
                </w:tcPr>
                <w:p w14:paraId="4DF8D10E">
                  <w:pPr>
                    <w:spacing w:line="240" w:lineRule="exact"/>
                    <w:jc w:val="center"/>
                    <w:rPr>
                      <w:rFonts w:hint="default" w:eastAsia="宋体"/>
                      <w:color w:val="000000" w:themeColor="text1"/>
                      <w:kern w:val="0"/>
                      <w:sz w:val="18"/>
                      <w:szCs w:val="18"/>
                      <w:highlight w:val="none"/>
                      <w:lang w:val="en-US" w:eastAsia="zh-CN"/>
                      <w14:textFill>
                        <w14:solidFill>
                          <w14:schemeClr w14:val="tx1"/>
                        </w14:solidFill>
                      </w14:textFill>
                    </w:rPr>
                  </w:pPr>
                  <w:r>
                    <w:rPr>
                      <w:rFonts w:hint="eastAsia"/>
                      <w:color w:val="000000" w:themeColor="text1"/>
                      <w:kern w:val="0"/>
                      <w:sz w:val="18"/>
                      <w:szCs w:val="18"/>
                      <w:highlight w:val="none"/>
                      <w14:textFill>
                        <w14:solidFill>
                          <w14:schemeClr w14:val="tx1"/>
                        </w14:solidFill>
                      </w14:textFill>
                    </w:rPr>
                    <w:t>0</w:t>
                  </w:r>
                  <w:r>
                    <w:rPr>
                      <w:color w:val="000000" w:themeColor="text1"/>
                      <w:kern w:val="0"/>
                      <w:sz w:val="18"/>
                      <w:szCs w:val="18"/>
                      <w:highlight w:val="none"/>
                      <w14:textFill>
                        <w14:solidFill>
                          <w14:schemeClr w14:val="tx1"/>
                        </w14:solidFill>
                      </w14:textFill>
                    </w:rPr>
                    <w:t>.</w:t>
                  </w:r>
                  <w:r>
                    <w:rPr>
                      <w:rFonts w:hint="eastAsia"/>
                      <w:color w:val="000000" w:themeColor="text1"/>
                      <w:kern w:val="0"/>
                      <w:sz w:val="18"/>
                      <w:szCs w:val="18"/>
                      <w:highlight w:val="none"/>
                      <w:lang w:val="en-US" w:eastAsia="zh-CN"/>
                      <w14:textFill>
                        <w14:solidFill>
                          <w14:schemeClr w14:val="tx1"/>
                        </w14:solidFill>
                      </w14:textFill>
                    </w:rPr>
                    <w:t>89</w:t>
                  </w:r>
                </w:p>
              </w:tc>
              <w:tc>
                <w:tcPr>
                  <w:tcW w:w="941" w:type="pct"/>
                  <w:vMerge w:val="continue"/>
                  <w:vAlign w:val="center"/>
                </w:tcPr>
                <w:p w14:paraId="73E0DE12">
                  <w:pPr>
                    <w:spacing w:line="240" w:lineRule="exact"/>
                    <w:jc w:val="center"/>
                    <w:rPr>
                      <w:color w:val="000000" w:themeColor="text1"/>
                      <w:sz w:val="18"/>
                      <w:szCs w:val="18"/>
                      <w:highlight w:val="none"/>
                      <w14:textFill>
                        <w14:solidFill>
                          <w14:schemeClr w14:val="tx1"/>
                        </w14:solidFill>
                      </w14:textFill>
                    </w:rPr>
                  </w:pPr>
                </w:p>
              </w:tc>
              <w:tc>
                <w:tcPr>
                  <w:tcW w:w="499" w:type="pct"/>
                  <w:vAlign w:val="center"/>
                </w:tcPr>
                <w:p w14:paraId="2CD916ED">
                  <w:pPr>
                    <w:spacing w:line="240" w:lineRule="exact"/>
                    <w:jc w:val="center"/>
                    <w:rPr>
                      <w:color w:val="000000" w:themeColor="text1"/>
                      <w:kern w:val="0"/>
                      <w:sz w:val="18"/>
                      <w:szCs w:val="18"/>
                      <w:highlight w:val="none"/>
                      <w14:textFill>
                        <w14:solidFill>
                          <w14:schemeClr w14:val="tx1"/>
                        </w14:solidFill>
                      </w14:textFill>
                    </w:rPr>
                  </w:pPr>
                  <w:r>
                    <w:rPr>
                      <w:color w:val="000000" w:themeColor="text1"/>
                      <w:kern w:val="0"/>
                      <w:sz w:val="18"/>
                      <w:szCs w:val="18"/>
                      <w:highlight w:val="none"/>
                      <w14:textFill>
                        <w14:solidFill>
                          <w14:schemeClr w14:val="tx1"/>
                        </w14:solidFill>
                      </w14:textFill>
                    </w:rPr>
                    <w:t>10</w:t>
                  </w:r>
                </w:p>
              </w:tc>
            </w:tr>
          </w:tbl>
          <w:p w14:paraId="12FE5CC2">
            <w:pPr>
              <w:adjustRightInd w:val="0"/>
              <w:snapToGrid w:val="0"/>
              <w:spacing w:line="440" w:lineRule="exact"/>
              <w:ind w:firstLine="360" w:firstLineChars="20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0F2744F7">
            <w:pPr>
              <w:adjustRightInd w:val="0"/>
              <w:snapToGrid w:val="0"/>
              <w:spacing w:line="440" w:lineRule="exact"/>
              <w:ind w:firstLine="360" w:firstLineChars="20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p w14:paraId="056EEE8C">
            <w:pPr>
              <w:spacing w:line="460" w:lineRule="exact"/>
              <w:ind w:firstLine="420" w:firstLineChars="200"/>
              <w:jc w:val="both"/>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（5）达标排放情况分析</w:t>
            </w:r>
          </w:p>
          <w:p w14:paraId="75F3742C">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①</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低氮燃烧可行性分析</w:t>
            </w:r>
          </w:p>
          <w:p w14:paraId="5161D6BA">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燃烧空气分为根部风、一次风和二次风三部分，通过与燃气的混合，形成局部负氧和富氧燃烧，从而抑制NOx的生成反应。通过稀释部分燃气，实现改善燃烧条件、提高燃烧稳定性的目标。降低火焰温度峰值，从源头降低NOx的生成。划分为多区域分别进行燃烧，在适当区域切入超混燃气，达到提高燃尽率和降低NOx生成的双重目的。提高火焰出口速度，强化主火焰对低温烟气的卷吸能力。平衡均匀火焰的温度峰值，进一步抑制热力型NOx生成。</w:t>
            </w:r>
          </w:p>
          <w:p w14:paraId="0BDCEB0E">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因此，通过在降低NOx的原理和燃烧器结构两方面综合得出：低氮燃烧器能够更好地降低燃烧器在燃烧过程中氮氧化合物的生成，缩短了氧、氮等气体在火焰中的停留时间，对“热反应NO”和“燃料NO”都有明显的抑制作用，可满足氮氧化物排放浓度低于50mg/m3。</w:t>
            </w:r>
          </w:p>
          <w:p w14:paraId="5744024A">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②</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排气筒排放高度合理性论证：</w:t>
            </w:r>
          </w:p>
          <w:p w14:paraId="73CDB0C6">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根据《锅炉大气污染物排放标准》（</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DB32/4385-2022</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）要求</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燃油、燃气锅炉烟囱不低于8米</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根据《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锅炉大气污染物排放标准</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GB13271-2014</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要求：“</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新建锅炉房的烟囱周围半径200m 距离内有建筑物时，其烟囱应高出最高建筑物3m</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次新建锅炉房</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周边200m范围内最高建筑物为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20</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m，因此</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排气筒高度设置为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m符合相关要求，排放的大气污染物（</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二氧化硫、氮氧化物、</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颗粒物）对周围环境影响较小，可确保大气环境质量达标，排气筒高度设置合理。</w:t>
            </w:r>
          </w:p>
          <w:p w14:paraId="4A438388">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③</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与《排污许可证申请与核发技术规范 锅炉》(HJ953—2018)相符性分析：</w:t>
            </w:r>
          </w:p>
          <w:p w14:paraId="636E2750">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根据《排污许可证申请与核发技术规范 锅炉》(HJ953—2018)表7锅炉烟气污染防治可行技术中相关要求，燃气锅炉应采用低氮燃烧处理或低氮燃烧+SCR 脱硝处理，本项目锅炉配置FGR低氮燃烧器，符合相关要求。</w:t>
            </w:r>
          </w:p>
          <w:p w14:paraId="64A472DE">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由上述分析可知，本项目正常工况排放的大气污染物对大气环境影响可接受，项目大气污染物排放方案可行，</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完成后，</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全厂</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废气能够实现达标排放。</w:t>
            </w:r>
          </w:p>
          <w:p w14:paraId="6D8E90A0">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非正常工况分析</w:t>
            </w:r>
          </w:p>
          <w:p w14:paraId="2B738432">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非正常工况包括启停炉、生产设备故障和检修、生产装置和环保设施达不到设计参数等情况的排污，不包括恶性事故排放。</w:t>
            </w:r>
          </w:p>
          <w:p w14:paraId="49C2C510">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①启停炉污染源强分析：启炉时，燃烧天然气，经排放口排出的污染物浓度和正常生产时基本一致。停炉时，待产生的废气排出之后才关闭排气风机，故在启、停炉时经排放口排出的污染物浓度和正常生产时基本一致。</w:t>
            </w:r>
          </w:p>
          <w:p w14:paraId="6B3CA392">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②生产设备故障和检修：设备故障时则立即停止作业，燃烧器停止燃烧，待产生的废气经排风机全部排出后关闭排气风机，可以确保废气排放情况和正常生产一样。设备检修时停止作业，不会有额外污染物产生。</w:t>
            </w:r>
          </w:p>
          <w:p w14:paraId="764D0A82">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③环保设施出现故障：本项目使用原料为天然气，低氮燃烧后直接排放，无废气环保措施处理可达相应环保要求，燃烧废气后经</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米高</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#排气筒排放。</w:t>
            </w:r>
          </w:p>
          <w:p w14:paraId="619C38DB">
            <w:pPr>
              <w:spacing w:line="480" w:lineRule="exact"/>
              <w:ind w:left="-107" w:leftChars="-51" w:firstLine="420" w:firstLineChars="200"/>
              <w:jc w:val="left"/>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综上，本项目在非正常工况下，废气排放状况和正常生产时一样</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p>
          <w:p w14:paraId="51964077">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由上述分析可知，本期项目正常工况排放的大气污染物对大气环境影响可接受，项目大气污染物排放方案可行。</w:t>
            </w:r>
          </w:p>
          <w:p w14:paraId="2233CE1A">
            <w:pPr>
              <w:spacing w:line="480" w:lineRule="exact"/>
              <w:ind w:left="-107" w:leftChars="-51" w:firstLine="420" w:firstLineChars="20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天然气燃烧产生的二氧化硫、氮氧化物、颗粒物排放浓度能满足《锅炉大气污染物排放标准》（DB32/4385-2022）相应标准。</w:t>
            </w:r>
          </w:p>
          <w:p w14:paraId="1B20517E">
            <w:pPr>
              <w:adjustRightInd w:val="0"/>
              <w:snapToGrid w:val="0"/>
              <w:spacing w:line="470" w:lineRule="exact"/>
              <w:ind w:firstLine="38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pacing w:val="-10"/>
                <w:szCs w:val="21"/>
                <w:highlight w:val="none"/>
                <w14:textFill>
                  <w14:solidFill>
                    <w14:schemeClr w14:val="tx1"/>
                  </w14:solidFill>
                </w14:textFill>
              </w:rPr>
              <w:t>（</w:t>
            </w:r>
            <w:r>
              <w:rPr>
                <w:rFonts w:hint="eastAsia" w:cs="Times New Roman"/>
                <w:bCs/>
                <w:color w:val="000000" w:themeColor="text1"/>
                <w:spacing w:val="-10"/>
                <w:szCs w:val="21"/>
                <w:highlight w:val="none"/>
                <w:lang w:val="en-US" w:eastAsia="zh-CN"/>
                <w14:textFill>
                  <w14:solidFill>
                    <w14:schemeClr w14:val="tx1"/>
                  </w14:solidFill>
                </w14:textFill>
              </w:rPr>
              <w:t>7</w:t>
            </w:r>
            <w:r>
              <w:rPr>
                <w:rFonts w:hint="default" w:ascii="Times New Roman" w:hAnsi="Times New Roman" w:eastAsia="宋体" w:cs="Times New Roman"/>
                <w:bCs/>
                <w:color w:val="000000" w:themeColor="text1"/>
                <w:spacing w:val="-10"/>
                <w:szCs w:val="21"/>
                <w:highlight w:val="none"/>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大气环境监测方案</w:t>
            </w:r>
          </w:p>
          <w:p w14:paraId="5AF48D76">
            <w:pPr>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对照《202</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14:textFill>
                  <w14:solidFill>
                    <w14:schemeClr w14:val="tx1"/>
                  </w14:solidFill>
                </w14:textFill>
              </w:rPr>
              <w:t>年苏州市环境监管重点单位名录》结合原有项目内容，本项目建设单位属于重点排污单位，根据《固定污染源排污许可分类管理名录》（2019年版）规定，建设单位排污许可管理应属于</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重点</w:t>
            </w:r>
            <w:r>
              <w:rPr>
                <w:rFonts w:hint="default" w:ascii="Times New Roman" w:hAnsi="Times New Roman" w:eastAsia="宋体" w:cs="Times New Roman"/>
                <w:color w:val="000000" w:themeColor="text1"/>
                <w:szCs w:val="21"/>
                <w:highlight w:val="none"/>
                <w14:textFill>
                  <w14:solidFill>
                    <w14:schemeClr w14:val="tx1"/>
                  </w14:solidFill>
                </w14:textFill>
              </w:rPr>
              <w:t>管理类别。依据《排污单位自行监测技术指南 火力发电及锅炉》（HJ820-2017），本期项目所在厂区废气的日常监测计划见下表：</w:t>
            </w:r>
          </w:p>
          <w:p w14:paraId="6E296CC5">
            <w:pPr>
              <w:spacing w:line="48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表4-</w:t>
            </w:r>
            <w:r>
              <w:rPr>
                <w:rFonts w:hint="eastAsia"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highlight w:val="none"/>
                <w14:textFill>
                  <w14:solidFill>
                    <w14:schemeClr w14:val="tx1"/>
                  </w14:solidFill>
                </w14:textFill>
              </w:rPr>
              <w:t xml:space="preserve">  大气污染源监测</w:t>
            </w:r>
          </w:p>
          <w:tbl>
            <w:tblPr>
              <w:tblStyle w:val="3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2"/>
              <w:gridCol w:w="1731"/>
              <w:gridCol w:w="1854"/>
              <w:gridCol w:w="1959"/>
              <w:gridCol w:w="1684"/>
            </w:tblGrid>
            <w:tr w14:paraId="0F0A94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831" w:type="pct"/>
                  <w:tcBorders>
                    <w:top w:val="single" w:color="auto" w:sz="12" w:space="0"/>
                    <w:bottom w:val="double" w:color="auto" w:sz="4" w:space="0"/>
                  </w:tcBorders>
                  <w:vAlign w:val="center"/>
                </w:tcPr>
                <w:p w14:paraId="616CFDD0">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排放源</w:t>
                  </w:r>
                </w:p>
              </w:tc>
              <w:tc>
                <w:tcPr>
                  <w:tcW w:w="998" w:type="pct"/>
                  <w:tcBorders>
                    <w:top w:val="single" w:color="auto" w:sz="12" w:space="0"/>
                    <w:bottom w:val="double" w:color="auto" w:sz="4" w:space="0"/>
                  </w:tcBorders>
                  <w:tcMar>
                    <w:top w:w="0" w:type="dxa"/>
                    <w:left w:w="0" w:type="dxa"/>
                    <w:bottom w:w="0" w:type="dxa"/>
                    <w:right w:w="0" w:type="dxa"/>
                  </w:tcMar>
                  <w:vAlign w:val="center"/>
                </w:tcPr>
                <w:p w14:paraId="2D0141C4">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监测因子</w:t>
                  </w:r>
                </w:p>
              </w:tc>
              <w:tc>
                <w:tcPr>
                  <w:tcW w:w="1069" w:type="pct"/>
                  <w:tcBorders>
                    <w:top w:val="single" w:color="auto" w:sz="12" w:space="0"/>
                    <w:bottom w:val="single" w:color="auto" w:sz="4" w:space="0"/>
                  </w:tcBorders>
                  <w:vAlign w:val="center"/>
                </w:tcPr>
                <w:p w14:paraId="7FA638BB">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监测点位、数量</w:t>
                  </w:r>
                </w:p>
              </w:tc>
              <w:tc>
                <w:tcPr>
                  <w:tcW w:w="1129" w:type="pct"/>
                  <w:tcBorders>
                    <w:top w:val="single" w:color="auto" w:sz="12" w:space="0"/>
                    <w:bottom w:val="single" w:color="auto" w:sz="4" w:space="0"/>
                  </w:tcBorders>
                  <w:vAlign w:val="center"/>
                </w:tcPr>
                <w:p w14:paraId="02AF87AC">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监测频次</w:t>
                  </w:r>
                </w:p>
              </w:tc>
              <w:tc>
                <w:tcPr>
                  <w:tcW w:w="971" w:type="pct"/>
                  <w:tcBorders>
                    <w:top w:val="single" w:color="auto" w:sz="12" w:space="0"/>
                    <w:bottom w:val="single" w:color="auto" w:sz="4" w:space="0"/>
                  </w:tcBorders>
                  <w:vAlign w:val="center"/>
                </w:tcPr>
                <w:p w14:paraId="12B6F51E">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执行标准</w:t>
                  </w:r>
                </w:p>
              </w:tc>
            </w:tr>
            <w:tr w14:paraId="544BFF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1" w:type="pct"/>
                  <w:vMerge w:val="restart"/>
                  <w:tcBorders>
                    <w:top w:val="double" w:color="auto" w:sz="4" w:space="0"/>
                  </w:tcBorders>
                  <w:vAlign w:val="center"/>
                </w:tcPr>
                <w:p w14:paraId="35412C3F">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DA004</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p>
              </w:tc>
              <w:tc>
                <w:tcPr>
                  <w:tcW w:w="998" w:type="pct"/>
                  <w:tcBorders>
                    <w:top w:val="double" w:color="auto" w:sz="4" w:space="0"/>
                    <w:bottom w:val="single" w:color="auto" w:sz="4" w:space="0"/>
                  </w:tcBorders>
                  <w:vAlign w:val="center"/>
                </w:tcPr>
                <w:p w14:paraId="7FC78710">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1069" w:type="pct"/>
                  <w:vMerge w:val="restart"/>
                  <w:tcBorders>
                    <w:top w:val="double" w:color="auto" w:sz="4" w:space="0"/>
                  </w:tcBorders>
                  <w:vAlign w:val="center"/>
                </w:tcPr>
                <w:p w14:paraId="66A3B16D">
                  <w:pPr>
                    <w:widowControl/>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排放口、1个</w:t>
                  </w:r>
                </w:p>
              </w:tc>
              <w:tc>
                <w:tcPr>
                  <w:tcW w:w="1129" w:type="pct"/>
                  <w:vMerge w:val="restart"/>
                  <w:tcBorders>
                    <w:top w:val="double" w:color="auto" w:sz="4" w:space="0"/>
                  </w:tcBorders>
                  <w:vAlign w:val="center"/>
                </w:tcPr>
                <w:p w14:paraId="72FD5F2B">
                  <w:pPr>
                    <w:wordWrap w:val="0"/>
                    <w:topLinePunct/>
                    <w:spacing w:line="240" w:lineRule="exact"/>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手动监测，</w:t>
                  </w:r>
                  <w:r>
                    <w:rPr>
                      <w:rFonts w:hint="default" w:ascii="Times New Roman" w:hAnsi="Times New Roman" w:eastAsia="宋体" w:cs="Times New Roman"/>
                      <w:color w:val="000000" w:themeColor="text1"/>
                      <w:sz w:val="18"/>
                      <w:szCs w:val="18"/>
                      <w:highlight w:val="none"/>
                      <w14:textFill>
                        <w14:solidFill>
                          <w14:schemeClr w14:val="tx1"/>
                        </w14:solidFill>
                      </w14:textFill>
                    </w:rPr>
                    <w:t>1次/</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季度</w:t>
                  </w:r>
                </w:p>
              </w:tc>
              <w:tc>
                <w:tcPr>
                  <w:tcW w:w="971" w:type="pct"/>
                  <w:vMerge w:val="restart"/>
                  <w:tcBorders>
                    <w:top w:val="double" w:color="auto" w:sz="4" w:space="0"/>
                  </w:tcBorders>
                  <w:vAlign w:val="center"/>
                </w:tcPr>
                <w:p w14:paraId="0B170707">
                  <w:pPr>
                    <w:wordWrap w:val="0"/>
                    <w:topLinePunct/>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《锅炉大气污染物排放标准》（DB32/4385-2022）表1</w:t>
                  </w:r>
                </w:p>
              </w:tc>
            </w:tr>
            <w:tr w14:paraId="057529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831" w:type="pct"/>
                  <w:vMerge w:val="continue"/>
                  <w:vAlign w:val="center"/>
                </w:tcPr>
                <w:p w14:paraId="6BA2F3E3">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98" w:type="pct"/>
                  <w:tcBorders>
                    <w:top w:val="single" w:color="auto" w:sz="4" w:space="0"/>
                    <w:bottom w:val="single" w:color="auto" w:sz="4" w:space="0"/>
                  </w:tcBorders>
                  <w:vAlign w:val="center"/>
                </w:tcPr>
                <w:p w14:paraId="6A2CF483">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林格曼黑度</w:t>
                  </w:r>
                </w:p>
              </w:tc>
              <w:tc>
                <w:tcPr>
                  <w:tcW w:w="1069" w:type="pct"/>
                  <w:vMerge w:val="continue"/>
                  <w:vAlign w:val="center"/>
                </w:tcPr>
                <w:p w14:paraId="24F818E4">
                  <w:pPr>
                    <w:widowControl/>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29" w:type="pct"/>
                  <w:vMerge w:val="continue"/>
                  <w:vAlign w:val="center"/>
                </w:tcPr>
                <w:p w14:paraId="1119C111">
                  <w:pPr>
                    <w:wordWrap w:val="0"/>
                    <w:topLinePunct/>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71" w:type="pct"/>
                  <w:vMerge w:val="continue"/>
                  <w:vAlign w:val="center"/>
                </w:tcPr>
                <w:p w14:paraId="56B5C5C8">
                  <w:pPr>
                    <w:wordWrap w:val="0"/>
                    <w:topLinePunct/>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39217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831" w:type="pct"/>
                  <w:vMerge w:val="continue"/>
                  <w:vAlign w:val="center"/>
                </w:tcPr>
                <w:p w14:paraId="6A612078">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98" w:type="pct"/>
                  <w:tcBorders>
                    <w:top w:val="single" w:color="auto" w:sz="4" w:space="0"/>
                    <w:bottom w:val="single" w:color="auto" w:sz="4" w:space="0"/>
                  </w:tcBorders>
                  <w:vAlign w:val="center"/>
                </w:tcPr>
                <w:p w14:paraId="75D57FB4">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1069" w:type="pct"/>
                  <w:vMerge w:val="continue"/>
                  <w:vAlign w:val="center"/>
                </w:tcPr>
                <w:p w14:paraId="0E3AA3D0">
                  <w:pPr>
                    <w:widowControl/>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29" w:type="pct"/>
                  <w:vMerge w:val="continue"/>
                  <w:vAlign w:val="center"/>
                </w:tcPr>
                <w:p w14:paraId="3ED5A7DE">
                  <w:pPr>
                    <w:wordWrap w:val="0"/>
                    <w:topLinePunct/>
                    <w:spacing w:line="240" w:lineRule="exact"/>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971" w:type="pct"/>
                  <w:vMerge w:val="continue"/>
                  <w:vAlign w:val="center"/>
                </w:tcPr>
                <w:p w14:paraId="4756AB47">
                  <w:pPr>
                    <w:wordWrap w:val="0"/>
                    <w:topLinePunct/>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7F60DF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47" w:hRule="atLeast"/>
                <w:jc w:val="center"/>
              </w:trPr>
              <w:tc>
                <w:tcPr>
                  <w:tcW w:w="831" w:type="pct"/>
                  <w:vMerge w:val="continue"/>
                  <w:tcBorders>
                    <w:bottom w:val="single" w:color="auto" w:sz="12" w:space="0"/>
                  </w:tcBorders>
                  <w:vAlign w:val="center"/>
                </w:tcPr>
                <w:p w14:paraId="1E9488DE">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98" w:type="pct"/>
                  <w:tcBorders>
                    <w:top w:val="single" w:color="auto" w:sz="4" w:space="0"/>
                    <w:bottom w:val="single" w:color="auto" w:sz="12" w:space="0"/>
                  </w:tcBorders>
                  <w:vAlign w:val="center"/>
                </w:tcPr>
                <w:p w14:paraId="6B84B3DE">
                  <w:pPr>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1069" w:type="pct"/>
                  <w:vMerge w:val="continue"/>
                  <w:tcBorders>
                    <w:bottom w:val="single" w:color="auto" w:sz="12" w:space="0"/>
                  </w:tcBorders>
                  <w:vAlign w:val="center"/>
                </w:tcPr>
                <w:p w14:paraId="12D43EF2">
                  <w:pPr>
                    <w:widowControl/>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29" w:type="pct"/>
                  <w:vAlign w:val="center"/>
                </w:tcPr>
                <w:p w14:paraId="541D41B3">
                  <w:pPr>
                    <w:wordWrap w:val="0"/>
                    <w:topLinePunct/>
                    <w:spacing w:line="240" w:lineRule="exact"/>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自动监测</w:t>
                  </w:r>
                </w:p>
              </w:tc>
              <w:tc>
                <w:tcPr>
                  <w:tcW w:w="971" w:type="pct"/>
                  <w:vMerge w:val="continue"/>
                  <w:vAlign w:val="center"/>
                </w:tcPr>
                <w:p w14:paraId="24E1892A">
                  <w:pPr>
                    <w:wordWrap w:val="0"/>
                    <w:topLinePunct/>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bl>
          <w:p w14:paraId="1EB5D7C7">
            <w:pPr>
              <w:tabs>
                <w:tab w:val="left" w:pos="8190"/>
              </w:tabs>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综上所述，本期项目位于苏州市</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szCs w:val="21"/>
                <w:highlight w:val="none"/>
                <w14:textFill>
                  <w14:solidFill>
                    <w14:schemeClr w14:val="tx1"/>
                  </w14:solidFill>
                </w14:textFill>
              </w:rPr>
              <w:t>，项目所在区域空气环境质量现状为非达标区，苏州市政府通过一系列治理措施，可有效改善当地大气环境。本期项目锅炉废气采用低氮燃烧技术后通过1根</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Cs w:val="21"/>
                <w:highlight w:val="none"/>
                <w14:textFill>
                  <w14:solidFill>
                    <w14:schemeClr w14:val="tx1"/>
                  </w14:solidFill>
                </w14:textFill>
              </w:rPr>
              <w:t>m高排气筒达标排放，对周围环境影响较小，不影响周边企业的生产、生活。</w:t>
            </w:r>
          </w:p>
          <w:p w14:paraId="290684AD">
            <w:pPr>
              <w:pStyle w:val="2"/>
              <w:numPr>
                <w:ilvl w:val="0"/>
                <w:numId w:val="1"/>
              </w:numPr>
              <w:spacing w:before="0" w:after="0" w:line="440" w:lineRule="exact"/>
              <w:ind w:left="360" w:leftChars="0" w:hanging="360" w:firstLineChars="0"/>
              <w:jc w:val="lef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废水影响分析</w:t>
            </w:r>
          </w:p>
          <w:p w14:paraId="0F4C8253">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期</w:t>
            </w:r>
            <w:r>
              <w:rPr>
                <w:rFonts w:hint="default" w:ascii="Times New Roman" w:hAnsi="Times New Roman" w:eastAsia="宋体" w:cs="Times New Roman"/>
                <w:color w:val="000000" w:themeColor="text1"/>
                <w:szCs w:val="21"/>
                <w:highlight w:val="none"/>
                <w14:textFill>
                  <w14:solidFill>
                    <w14:schemeClr w14:val="tx1"/>
                  </w14:solidFill>
                </w14:textFill>
              </w:rPr>
              <w:t>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不新增员工，故不产生生活污水。</w:t>
            </w:r>
          </w:p>
          <w:p w14:paraId="20C059A6">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因本项目锅炉用水依托现有净水站和化水站进行制备，涉及到的</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生产</w:t>
            </w:r>
            <w:r>
              <w:rPr>
                <w:rFonts w:hint="default" w:ascii="Times New Roman" w:hAnsi="Times New Roman" w:eastAsia="宋体" w:cs="Times New Roman"/>
                <w:color w:val="000000" w:themeColor="text1"/>
                <w:szCs w:val="21"/>
                <w:highlight w:val="none"/>
                <w14:textFill>
                  <w14:solidFill>
                    <w14:schemeClr w14:val="tx1"/>
                  </w14:solidFill>
                </w14:textFill>
              </w:rPr>
              <w:t>废水主要为</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①净水站产生的</w:t>
            </w:r>
            <w:r>
              <w:rPr>
                <w:rFonts w:hint="default" w:ascii="Times New Roman" w:hAnsi="Times New Roman" w:eastAsia="宋体" w:cs="Times New Roman"/>
                <w:color w:val="000000" w:themeColor="text1"/>
                <w:szCs w:val="21"/>
                <w:highlight w:val="none"/>
                <w14:textFill>
                  <w14:solidFill>
                    <w14:schemeClr w14:val="tx1"/>
                  </w14:solidFill>
                </w14:textFill>
              </w:rPr>
              <w:t>强排水</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②化水站产生的</w:t>
            </w:r>
            <w:r>
              <w:rPr>
                <w:rFonts w:hint="default" w:ascii="Times New Roman" w:hAnsi="Times New Roman" w:eastAsia="宋体" w:cs="Times New Roman"/>
                <w:color w:val="000000" w:themeColor="text1"/>
                <w:szCs w:val="21"/>
                <w:highlight w:val="none"/>
                <w14:textFill>
                  <w14:solidFill>
                    <w14:schemeClr w14:val="tx1"/>
                  </w14:solidFill>
                </w14:textFill>
              </w:rPr>
              <w:t>反渗透浓水、酸碱废水</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③本次新增的100t/h备用锅炉产生的</w:t>
            </w:r>
            <w:r>
              <w:rPr>
                <w:rFonts w:hint="default" w:ascii="Times New Roman" w:hAnsi="Times New Roman" w:eastAsia="宋体" w:cs="Times New Roman"/>
                <w:color w:val="000000" w:themeColor="text1"/>
                <w:szCs w:val="21"/>
                <w:highlight w:val="none"/>
                <w14:textFill>
                  <w14:solidFill>
                    <w14:schemeClr w14:val="tx1"/>
                  </w14:solidFill>
                </w14:textFill>
              </w:rPr>
              <w:t>锅炉定连排水。其中净水站强排水</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锅炉定连排水回流至净水站</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进行处理</w:t>
            </w:r>
            <w:r>
              <w:rPr>
                <w:rFonts w:hint="default" w:ascii="Times New Roman" w:hAnsi="Times New Roman" w:eastAsia="宋体" w:cs="Times New Roman"/>
                <w:color w:val="000000" w:themeColor="text1"/>
                <w:szCs w:val="21"/>
                <w:highlight w:val="none"/>
                <w14:textFill>
                  <w14:solidFill>
                    <w14:schemeClr w14:val="tx1"/>
                  </w14:solidFill>
                </w14:textFill>
              </w:rPr>
              <w:t>，不外排</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反渗透浓水</w:t>
            </w:r>
            <w:r>
              <w:rPr>
                <w:rFonts w:hint="eastAsia" w:cs="Times New Roman"/>
                <w:color w:val="000000" w:themeColor="text1"/>
                <w:sz w:val="18"/>
                <w:szCs w:val="18"/>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酸碱废水</w:t>
            </w:r>
            <w:r>
              <w:rPr>
                <w:rFonts w:hint="default" w:ascii="Times New Roman" w:hAnsi="Times New Roman" w:eastAsia="宋体" w:cs="Times New Roman"/>
                <w:color w:val="000000" w:themeColor="text1"/>
                <w:szCs w:val="21"/>
                <w:highlight w:val="none"/>
                <w14:textFill>
                  <w14:solidFill>
                    <w14:schemeClr w14:val="tx1"/>
                  </w14:solidFill>
                </w14:textFill>
              </w:rPr>
              <w:t>经过厂区现有的废水处理系统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(中和+沉淀)</w:t>
            </w:r>
            <w:r>
              <w:rPr>
                <w:rFonts w:hint="default" w:ascii="Times New Roman" w:hAnsi="Times New Roman" w:eastAsia="宋体" w:cs="Times New Roman"/>
                <w:color w:val="000000" w:themeColor="text1"/>
                <w:szCs w:val="21"/>
                <w:highlight w:val="none"/>
                <w14:textFill>
                  <w14:solidFill>
                    <w14:schemeClr w14:val="tx1"/>
                  </w14:solidFill>
                </w14:textFill>
              </w:rPr>
              <w:t>预处理达标后接入平望</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镇</w:t>
            </w:r>
            <w:r>
              <w:rPr>
                <w:rFonts w:hint="default" w:ascii="Times New Roman" w:hAnsi="Times New Roman" w:eastAsia="宋体" w:cs="Times New Roman"/>
                <w:color w:val="000000" w:themeColor="text1"/>
                <w:szCs w:val="21"/>
                <w:highlight w:val="none"/>
                <w14:textFill>
                  <w14:solidFill>
                    <w14:schemeClr w14:val="tx1"/>
                  </w14:solidFill>
                </w14:textFill>
              </w:rPr>
              <w:t>污水处理厂。</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本次评价主要针对外排废水（酸碱废水、</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反渗透浓水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）进行介绍。</w:t>
            </w:r>
          </w:p>
          <w:p w14:paraId="5539D563">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酸碱废水</w:t>
            </w:r>
          </w:p>
          <w:p w14:paraId="5E74F993">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酸碱废水产生于现有化水站中离子交换树脂再生过程及超滤膜、反渗透膜清洗过程。类</w:t>
            </w:r>
            <w:r>
              <w:rPr>
                <w:rFonts w:hint="eastAsia" w:cs="Times New Roman"/>
                <w:color w:val="000000" w:themeColor="text1"/>
                <w:szCs w:val="21"/>
                <w:highlight w:val="none"/>
                <w:lang w:val="en-US" w:eastAsia="zh-CN"/>
                <w14:textFill>
                  <w14:solidFill>
                    <w14:schemeClr w14:val="tx1"/>
                  </w14:solidFill>
                </w14:textFill>
              </w:rPr>
              <w:t>比</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现有50t/h燃气锅炉运行情况，本期100t/h燃气锅炉酸碱废水产生量为7200t/a，主要污染物为：</w:t>
            </w:r>
            <w:r>
              <w:rPr>
                <w:rFonts w:hint="default" w:ascii="Times New Roman" w:hAnsi="Times New Roman" w:eastAsia="宋体" w:cs="Times New Roman"/>
                <w:color w:val="000000" w:themeColor="text1"/>
                <w:szCs w:val="21"/>
                <w:highlight w:val="none"/>
                <w14:textFill>
                  <w14:solidFill>
                    <w14:schemeClr w14:val="tx1"/>
                  </w14:solidFill>
                </w14:textFill>
              </w:rPr>
              <w:t>pH、COD、SS。</w:t>
            </w:r>
          </w:p>
          <w:p w14:paraId="1DAD6817">
            <w:pPr>
              <w:spacing w:line="480" w:lineRule="exact"/>
              <w:ind w:firstLine="420" w:firstLineChars="200"/>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②</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反渗透浓水</w:t>
            </w:r>
          </w:p>
          <w:p w14:paraId="65D02DB2">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反渗透浓水产生于现有</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化水站中</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反渗透制水过程，</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类</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比</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现有50t/h燃气锅炉运行情况，本期100t/h燃气锅炉酸碱废水产生量为7200t/a，主要污染物为：COD、SS。</w:t>
            </w:r>
          </w:p>
          <w:p w14:paraId="030BC80C">
            <w:pPr>
              <w:spacing w:line="480" w:lineRule="exact"/>
              <w:ind w:firstLine="420" w:firstLineChars="20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表4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  本期100t/h燃气锅炉废水产排情况</w:t>
            </w:r>
          </w:p>
          <w:tbl>
            <w:tblPr>
              <w:tblStyle w:val="36"/>
              <w:tblW w:w="8377" w:type="dxa"/>
              <w:tblInd w:w="8"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872"/>
              <w:gridCol w:w="1144"/>
              <w:gridCol w:w="961"/>
              <w:gridCol w:w="701"/>
              <w:gridCol w:w="1426"/>
              <w:gridCol w:w="850"/>
              <w:gridCol w:w="1135"/>
            </w:tblGrid>
            <w:tr w14:paraId="153F688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14AAFC83">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bookmarkStart w:id="6" w:name="_Hlk100908185"/>
                  <w:r>
                    <w:rPr>
                      <w:rFonts w:hint="default" w:ascii="Times New Roman" w:hAnsi="Times New Roman" w:eastAsia="宋体" w:cs="Times New Roman"/>
                      <w:b/>
                      <w:bCs/>
                      <w:color w:val="000000" w:themeColor="text1"/>
                      <w:sz w:val="18"/>
                      <w:szCs w:val="18"/>
                      <w:highlight w:val="none"/>
                      <w14:textFill>
                        <w14:solidFill>
                          <w14:schemeClr w14:val="tx1"/>
                        </w14:solidFill>
                      </w14:textFill>
                    </w:rPr>
                    <w:t>废水来源</w:t>
                  </w:r>
                </w:p>
              </w:tc>
              <w:tc>
                <w:tcPr>
                  <w:tcW w:w="872" w:type="dxa"/>
                  <w:vMerge w:val="restart"/>
                  <w:noWrap w:val="0"/>
                  <w:vAlign w:val="center"/>
                </w:tcPr>
                <w:p w14:paraId="03E11721">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污染物名称</w:t>
                  </w:r>
                </w:p>
              </w:tc>
              <w:tc>
                <w:tcPr>
                  <w:tcW w:w="2105" w:type="dxa"/>
                  <w:gridSpan w:val="2"/>
                  <w:noWrap w:val="0"/>
                  <w:vAlign w:val="center"/>
                </w:tcPr>
                <w:p w14:paraId="7D196B8F">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污染物产生量</w:t>
                  </w:r>
                </w:p>
              </w:tc>
              <w:tc>
                <w:tcPr>
                  <w:tcW w:w="701" w:type="dxa"/>
                  <w:vMerge w:val="restart"/>
                  <w:noWrap w:val="0"/>
                  <w:vAlign w:val="center"/>
                </w:tcPr>
                <w:p w14:paraId="27AAEEF9">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治理措施</w:t>
                  </w:r>
                </w:p>
              </w:tc>
              <w:tc>
                <w:tcPr>
                  <w:tcW w:w="1426" w:type="dxa"/>
                  <w:vMerge w:val="restart"/>
                  <w:noWrap w:val="0"/>
                  <w:vAlign w:val="center"/>
                </w:tcPr>
                <w:p w14:paraId="79D3580D">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污染物名称</w:t>
                  </w:r>
                </w:p>
              </w:tc>
              <w:tc>
                <w:tcPr>
                  <w:tcW w:w="1985" w:type="dxa"/>
                  <w:gridSpan w:val="2"/>
                  <w:noWrap w:val="0"/>
                  <w:vAlign w:val="center"/>
                </w:tcPr>
                <w:p w14:paraId="281C9DED">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污染物排放量</w:t>
                  </w:r>
                </w:p>
              </w:tc>
            </w:tr>
            <w:tr w14:paraId="481C5D0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43360589">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72" w:type="dxa"/>
                  <w:vMerge w:val="continue"/>
                  <w:noWrap w:val="0"/>
                  <w:vAlign w:val="center"/>
                </w:tcPr>
                <w:p w14:paraId="063193EC">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1144" w:type="dxa"/>
                  <w:noWrap w:val="0"/>
                  <w:vAlign w:val="center"/>
                </w:tcPr>
                <w:p w14:paraId="4A24E448">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浓度</w:t>
                  </w:r>
                </w:p>
                <w:p w14:paraId="474A777C">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(mg/L)</w:t>
                  </w:r>
                </w:p>
              </w:tc>
              <w:tc>
                <w:tcPr>
                  <w:tcW w:w="961" w:type="dxa"/>
                  <w:tcBorders>
                    <w:bottom w:val="single" w:color="auto" w:sz="4" w:space="0"/>
                  </w:tcBorders>
                  <w:noWrap w:val="0"/>
                  <w:vAlign w:val="center"/>
                </w:tcPr>
                <w:p w14:paraId="371C0586">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产生</w:t>
                  </w: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量</w:t>
                  </w:r>
                  <w:r>
                    <w:rPr>
                      <w:rFonts w:hint="default" w:ascii="Times New Roman" w:hAnsi="Times New Roman" w:eastAsia="宋体" w:cs="Times New Roman"/>
                      <w:b/>
                      <w:bCs/>
                      <w:color w:val="000000" w:themeColor="text1"/>
                      <w:sz w:val="18"/>
                      <w:szCs w:val="18"/>
                      <w:highlight w:val="none"/>
                      <w14:textFill>
                        <w14:solidFill>
                          <w14:schemeClr w14:val="tx1"/>
                        </w14:solidFill>
                      </w14:textFill>
                    </w:rPr>
                    <w:t>（t/a）</w:t>
                  </w:r>
                </w:p>
              </w:tc>
              <w:tc>
                <w:tcPr>
                  <w:tcW w:w="701" w:type="dxa"/>
                  <w:vMerge w:val="continue"/>
                  <w:noWrap w:val="0"/>
                  <w:vAlign w:val="center"/>
                </w:tcPr>
                <w:p w14:paraId="700EB7A3">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1426" w:type="dxa"/>
                  <w:vMerge w:val="continue"/>
                  <w:noWrap w:val="0"/>
                  <w:vAlign w:val="center"/>
                </w:tcPr>
                <w:p w14:paraId="49476697">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50" w:type="dxa"/>
                  <w:noWrap w:val="0"/>
                  <w:vAlign w:val="center"/>
                </w:tcPr>
                <w:p w14:paraId="3003B797">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浓度</w:t>
                  </w:r>
                </w:p>
                <w:p w14:paraId="6450BCB1">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(mg/L)</w:t>
                  </w:r>
                </w:p>
              </w:tc>
              <w:tc>
                <w:tcPr>
                  <w:tcW w:w="1135" w:type="dxa"/>
                  <w:noWrap w:val="0"/>
                  <w:vAlign w:val="center"/>
                </w:tcPr>
                <w:p w14:paraId="540CB773">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排放量</w:t>
                  </w:r>
                </w:p>
                <w:p w14:paraId="7FD618A9">
                  <w:pPr>
                    <w:pStyle w:val="198"/>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（t/a）</w:t>
                  </w:r>
                </w:p>
              </w:tc>
            </w:tr>
            <w:tr w14:paraId="2163475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5980404E">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酸碱废水</w:t>
                  </w:r>
                </w:p>
                <w:p w14:paraId="74249E39">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7200</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noWrap w:val="0"/>
                  <w:vAlign w:val="center"/>
                </w:tcPr>
                <w:p w14:paraId="5F7A4E7B">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PH</w:t>
                  </w:r>
                </w:p>
              </w:tc>
              <w:tc>
                <w:tcPr>
                  <w:tcW w:w="1144" w:type="dxa"/>
                  <w:tcBorders>
                    <w:right w:val="single" w:color="auto" w:sz="4" w:space="0"/>
                  </w:tcBorders>
                  <w:noWrap w:val="0"/>
                  <w:vAlign w:val="center"/>
                </w:tcPr>
                <w:p w14:paraId="18714DDE">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2-12</w:t>
                  </w:r>
                </w:p>
              </w:tc>
              <w:tc>
                <w:tcPr>
                  <w:tcW w:w="961" w:type="dxa"/>
                  <w:tcBorders>
                    <w:top w:val="single" w:color="auto" w:sz="4" w:space="0"/>
                    <w:left w:val="single" w:color="auto" w:sz="4" w:space="0"/>
                    <w:bottom w:val="single" w:color="auto" w:sz="4" w:space="0"/>
                    <w:right w:val="single" w:color="auto" w:sz="4" w:space="0"/>
                  </w:tcBorders>
                  <w:noWrap w:val="0"/>
                  <w:vAlign w:val="center"/>
                </w:tcPr>
                <w:p w14:paraId="392AB77A">
                  <w:pPr>
                    <w:widowControl/>
                    <w:jc w:val="center"/>
                    <w:textAlignment w:val="bottom"/>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w:t>
                  </w:r>
                </w:p>
              </w:tc>
              <w:tc>
                <w:tcPr>
                  <w:tcW w:w="701" w:type="dxa"/>
                  <w:vMerge w:val="restart"/>
                  <w:tcBorders>
                    <w:left w:val="single" w:color="auto" w:sz="4" w:space="0"/>
                  </w:tcBorders>
                  <w:noWrap w:val="0"/>
                  <w:vAlign w:val="center"/>
                </w:tcPr>
                <w:p w14:paraId="6FE3D214">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中和+沉淀后排入平望污水处理厂</w:t>
                  </w:r>
                </w:p>
              </w:tc>
              <w:tc>
                <w:tcPr>
                  <w:tcW w:w="1426" w:type="dxa"/>
                  <w:noWrap w:val="0"/>
                  <w:vAlign w:val="center"/>
                </w:tcPr>
                <w:p w14:paraId="1AF5A6EC">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废水量</w:t>
                  </w:r>
                </w:p>
              </w:tc>
              <w:tc>
                <w:tcPr>
                  <w:tcW w:w="850" w:type="dxa"/>
                  <w:noWrap w:val="0"/>
                  <w:vAlign w:val="center"/>
                </w:tcPr>
                <w:p w14:paraId="29FCD552">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noWrap w:val="0"/>
                  <w:vAlign w:val="center"/>
                </w:tcPr>
                <w:p w14:paraId="1EA5BC49">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26400</w:t>
                  </w:r>
                </w:p>
              </w:tc>
            </w:tr>
            <w:tr w14:paraId="372C265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4D561E80">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7246D6D7">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1144" w:type="dxa"/>
                  <w:tcBorders>
                    <w:right w:val="single" w:color="auto" w:sz="4" w:space="0"/>
                  </w:tcBorders>
                  <w:noWrap w:val="0"/>
                  <w:vAlign w:val="center"/>
                </w:tcPr>
                <w:p w14:paraId="4382041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60</w:t>
                  </w:r>
                </w:p>
              </w:tc>
              <w:tc>
                <w:tcPr>
                  <w:tcW w:w="961" w:type="dxa"/>
                  <w:tcBorders>
                    <w:top w:val="single" w:color="auto" w:sz="4" w:space="0"/>
                    <w:left w:val="single" w:color="auto" w:sz="4" w:space="0"/>
                    <w:bottom w:val="single" w:color="auto" w:sz="4" w:space="0"/>
                    <w:right w:val="single" w:color="auto" w:sz="4" w:space="0"/>
                  </w:tcBorders>
                  <w:noWrap w:val="0"/>
                  <w:vAlign w:val="center"/>
                </w:tcPr>
                <w:p w14:paraId="184ECBE2">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w:t>
                  </w: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43</w:t>
                  </w:r>
                </w:p>
              </w:tc>
              <w:tc>
                <w:tcPr>
                  <w:tcW w:w="701" w:type="dxa"/>
                  <w:vMerge w:val="continue"/>
                  <w:tcBorders>
                    <w:left w:val="single" w:color="auto" w:sz="4" w:space="0"/>
                  </w:tcBorders>
                  <w:noWrap w:val="0"/>
                  <w:vAlign w:val="center"/>
                </w:tcPr>
                <w:p w14:paraId="28133757">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26" w:type="dxa"/>
                  <w:noWrap w:val="0"/>
                  <w:vAlign w:val="center"/>
                </w:tcPr>
                <w:p w14:paraId="596A0E4B">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850" w:type="dxa"/>
                  <w:noWrap w:val="0"/>
                  <w:vAlign w:val="center"/>
                </w:tcPr>
                <w:p w14:paraId="7D57950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34.6</w:t>
                  </w:r>
                </w:p>
              </w:tc>
              <w:tc>
                <w:tcPr>
                  <w:tcW w:w="1135" w:type="dxa"/>
                  <w:noWrap w:val="0"/>
                  <w:vAlign w:val="center"/>
                </w:tcPr>
                <w:p w14:paraId="197F25D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0.9</w:t>
                  </w:r>
                  <w:r>
                    <w:rPr>
                      <w:rFonts w:hint="eastAsia" w:cs="Times New Roman"/>
                      <w:color w:val="000000" w:themeColor="text1"/>
                      <w:sz w:val="18"/>
                      <w:szCs w:val="18"/>
                      <w:highlight w:val="none"/>
                      <w:lang w:val="en-US" w:eastAsia="zh-CN"/>
                      <w14:textFill>
                        <w14:solidFill>
                          <w14:schemeClr w14:val="tx1"/>
                        </w14:solidFill>
                      </w14:textFill>
                    </w:rPr>
                    <w:t>1</w:t>
                  </w:r>
                </w:p>
              </w:tc>
            </w:tr>
            <w:tr w14:paraId="5213CB5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61EFCF83">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79F31F50">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1144" w:type="dxa"/>
                  <w:tcBorders>
                    <w:right w:val="single" w:color="auto" w:sz="4" w:space="0"/>
                  </w:tcBorders>
                  <w:noWrap w:val="0"/>
                  <w:vAlign w:val="center"/>
                </w:tcPr>
                <w:p w14:paraId="0406AFE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150</w:t>
                  </w:r>
                </w:p>
              </w:tc>
              <w:tc>
                <w:tcPr>
                  <w:tcW w:w="961" w:type="dxa"/>
                  <w:tcBorders>
                    <w:top w:val="single" w:color="auto" w:sz="4" w:space="0"/>
                    <w:left w:val="single" w:color="auto" w:sz="4" w:space="0"/>
                    <w:bottom w:val="single" w:color="auto" w:sz="4" w:space="0"/>
                    <w:right w:val="single" w:color="auto" w:sz="4" w:space="0"/>
                  </w:tcBorders>
                  <w:noWrap w:val="0"/>
                  <w:vAlign w:val="center"/>
                </w:tcPr>
                <w:p w14:paraId="5B0A3D2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1.08</w:t>
                  </w:r>
                </w:p>
              </w:tc>
              <w:tc>
                <w:tcPr>
                  <w:tcW w:w="701" w:type="dxa"/>
                  <w:vMerge w:val="continue"/>
                  <w:tcBorders>
                    <w:left w:val="single" w:color="auto" w:sz="4" w:space="0"/>
                  </w:tcBorders>
                  <w:noWrap w:val="0"/>
                  <w:vAlign w:val="center"/>
                </w:tcPr>
                <w:p w14:paraId="22D41C11">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26" w:type="dxa"/>
                  <w:noWrap w:val="0"/>
                  <w:vAlign w:val="center"/>
                </w:tcPr>
                <w:p w14:paraId="4EF97149">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850" w:type="dxa"/>
                  <w:noWrap w:val="0"/>
                  <w:vAlign w:val="center"/>
                </w:tcPr>
                <w:p w14:paraId="16AC036F">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28.4</w:t>
                  </w:r>
                </w:p>
              </w:tc>
              <w:tc>
                <w:tcPr>
                  <w:tcW w:w="1135" w:type="dxa"/>
                  <w:noWrap w:val="0"/>
                  <w:vAlign w:val="center"/>
                </w:tcPr>
                <w:p w14:paraId="37131EBF">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0.75</w:t>
                  </w:r>
                </w:p>
              </w:tc>
            </w:tr>
            <w:tr w14:paraId="5A0CC40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49DA90D3">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反渗透浓</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水</w:t>
                  </w:r>
                </w:p>
                <w:p w14:paraId="141B3DCD">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7200</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tcBorders>
                    <w:bottom w:val="single" w:color="auto" w:sz="4" w:space="0"/>
                  </w:tcBorders>
                  <w:noWrap w:val="0"/>
                  <w:vAlign w:val="center"/>
                </w:tcPr>
                <w:p w14:paraId="4E729C60">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1144" w:type="dxa"/>
                  <w:tcBorders>
                    <w:bottom w:val="single" w:color="auto" w:sz="4" w:space="0"/>
                    <w:right w:val="single" w:color="auto" w:sz="4" w:space="0"/>
                  </w:tcBorders>
                  <w:noWrap w:val="0"/>
                  <w:vAlign w:val="center"/>
                </w:tcPr>
                <w:p w14:paraId="313E4DC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50</w:t>
                  </w:r>
                </w:p>
              </w:tc>
              <w:tc>
                <w:tcPr>
                  <w:tcW w:w="961" w:type="dxa"/>
                  <w:tcBorders>
                    <w:top w:val="single" w:color="auto" w:sz="4" w:space="0"/>
                    <w:left w:val="single" w:color="auto" w:sz="4" w:space="0"/>
                    <w:bottom w:val="single" w:color="auto" w:sz="4" w:space="0"/>
                    <w:right w:val="single" w:color="auto" w:sz="4" w:space="0"/>
                  </w:tcBorders>
                  <w:noWrap w:val="0"/>
                  <w:vAlign w:val="center"/>
                </w:tcPr>
                <w:p w14:paraId="283F74E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0.36</w:t>
                  </w:r>
                </w:p>
              </w:tc>
              <w:tc>
                <w:tcPr>
                  <w:tcW w:w="701" w:type="dxa"/>
                  <w:vMerge w:val="continue"/>
                  <w:tcBorders>
                    <w:left w:val="single" w:color="auto" w:sz="4" w:space="0"/>
                  </w:tcBorders>
                  <w:noWrap w:val="0"/>
                  <w:vAlign w:val="center"/>
                </w:tcPr>
                <w:p w14:paraId="05311F41">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26" w:type="dxa"/>
                  <w:noWrap w:val="0"/>
                  <w:vAlign w:val="center"/>
                </w:tcPr>
                <w:p w14:paraId="5F4125B8">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w:t>
                  </w:r>
                </w:p>
              </w:tc>
              <w:tc>
                <w:tcPr>
                  <w:tcW w:w="850" w:type="dxa"/>
                  <w:noWrap w:val="0"/>
                  <w:vAlign w:val="center"/>
                </w:tcPr>
                <w:p w14:paraId="0705DB6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w:t>
                  </w:r>
                </w:p>
              </w:tc>
              <w:tc>
                <w:tcPr>
                  <w:tcW w:w="1135" w:type="dxa"/>
                  <w:noWrap w:val="0"/>
                  <w:vAlign w:val="center"/>
                </w:tcPr>
                <w:p w14:paraId="01FCAA8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w:t>
                  </w:r>
                </w:p>
              </w:tc>
            </w:tr>
            <w:tr w14:paraId="31F9431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2F527F56">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tcBorders>
                    <w:top w:val="single" w:color="auto" w:sz="4" w:space="0"/>
                    <w:bottom w:val="single" w:color="auto" w:sz="12" w:space="0"/>
                    <w:right w:val="single" w:color="auto" w:sz="4" w:space="0"/>
                  </w:tcBorders>
                  <w:noWrap w:val="0"/>
                  <w:vAlign w:val="center"/>
                </w:tcPr>
                <w:p w14:paraId="40CB7A0E">
                  <w:pPr>
                    <w:pStyle w:val="198"/>
                    <w:jc w:val="cente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t>SS</w:t>
                  </w:r>
                </w:p>
              </w:tc>
              <w:tc>
                <w:tcPr>
                  <w:tcW w:w="1144" w:type="dxa"/>
                  <w:tcBorders>
                    <w:top w:val="single" w:color="auto" w:sz="4" w:space="0"/>
                    <w:left w:val="single" w:color="auto" w:sz="4" w:space="0"/>
                    <w:bottom w:val="single" w:color="auto" w:sz="12" w:space="0"/>
                    <w:right w:val="single" w:color="auto" w:sz="4" w:space="0"/>
                  </w:tcBorders>
                  <w:noWrap w:val="0"/>
                  <w:vAlign w:val="center"/>
                </w:tcPr>
                <w:p w14:paraId="7B836E52">
                  <w:pPr>
                    <w:pStyle w:val="198"/>
                    <w:jc w:val="cente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t>120</w:t>
                  </w:r>
                </w:p>
              </w:tc>
              <w:tc>
                <w:tcPr>
                  <w:tcW w:w="961" w:type="dxa"/>
                  <w:tcBorders>
                    <w:top w:val="single" w:color="auto" w:sz="4" w:space="0"/>
                    <w:left w:val="single" w:color="auto" w:sz="4" w:space="0"/>
                    <w:bottom w:val="single" w:color="auto" w:sz="12" w:space="0"/>
                    <w:right w:val="single" w:color="auto" w:sz="4" w:space="0"/>
                  </w:tcBorders>
                  <w:noWrap w:val="0"/>
                  <w:vAlign w:val="center"/>
                </w:tcPr>
                <w:p w14:paraId="3644938C">
                  <w:pPr>
                    <w:pStyle w:val="198"/>
                    <w:jc w:val="cente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18"/>
                      <w:szCs w:val="18"/>
                      <w:highlight w:val="none"/>
                      <w:lang w:val="en-US" w:eastAsia="zh-CN"/>
                      <w14:textFill>
                        <w14:solidFill>
                          <w14:schemeClr w14:val="tx1"/>
                        </w14:solidFill>
                      </w14:textFill>
                    </w:rPr>
                    <w:t>0.86</w:t>
                  </w:r>
                </w:p>
              </w:tc>
              <w:tc>
                <w:tcPr>
                  <w:tcW w:w="701" w:type="dxa"/>
                  <w:vMerge w:val="continue"/>
                  <w:tcBorders>
                    <w:left w:val="single" w:color="auto" w:sz="4" w:space="0"/>
                  </w:tcBorders>
                  <w:noWrap w:val="0"/>
                  <w:vAlign w:val="center"/>
                </w:tcPr>
                <w:p w14:paraId="2C0E1E76">
                  <w:pPr>
                    <w:pStyle w:val="198"/>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26" w:type="dxa"/>
                  <w:noWrap w:val="0"/>
                  <w:vAlign w:val="center"/>
                </w:tcPr>
                <w:p w14:paraId="44D0BE95">
                  <w:pPr>
                    <w:pStyle w:val="198"/>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w:t>
                  </w:r>
                </w:p>
              </w:tc>
              <w:tc>
                <w:tcPr>
                  <w:tcW w:w="850" w:type="dxa"/>
                  <w:noWrap w:val="0"/>
                  <w:vAlign w:val="center"/>
                </w:tcPr>
                <w:p w14:paraId="572554B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w:t>
                  </w:r>
                </w:p>
              </w:tc>
              <w:tc>
                <w:tcPr>
                  <w:tcW w:w="1135" w:type="dxa"/>
                  <w:noWrap w:val="0"/>
                  <w:vAlign w:val="center"/>
                </w:tcPr>
                <w:p w14:paraId="229A4C1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w:t>
                  </w:r>
                </w:p>
              </w:tc>
            </w:tr>
            <w:bookmarkEnd w:id="6"/>
          </w:tbl>
          <w:p w14:paraId="7915E549">
            <w:pPr>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水环境影响分析</w:t>
            </w:r>
          </w:p>
          <w:p w14:paraId="33A463A8">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（1）废水排放情况</w:t>
            </w:r>
          </w:p>
          <w:p w14:paraId="14580878">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eastAsia" w:cs="Times New Roman"/>
                <w:color w:val="000000" w:themeColor="text1"/>
                <w:szCs w:val="21"/>
                <w:highlight w:val="none"/>
                <w:lang w:val="en-US" w:eastAsia="zh-CN"/>
                <w14:textFill>
                  <w14:solidFill>
                    <w14:schemeClr w14:val="tx1"/>
                  </w14:solidFill>
                </w14:textFill>
              </w:rPr>
              <w:t>建成后</w:t>
            </w:r>
            <w:r>
              <w:rPr>
                <w:rFonts w:hint="default" w:ascii="Times New Roman" w:hAnsi="Times New Roman" w:eastAsia="宋体" w:cs="Times New Roman"/>
                <w:color w:val="000000" w:themeColor="text1"/>
                <w:szCs w:val="21"/>
                <w:highlight w:val="none"/>
                <w14:textFill>
                  <w14:solidFill>
                    <w14:schemeClr w14:val="tx1"/>
                  </w14:solidFill>
                </w14:textFill>
              </w:rPr>
              <w:t>废水类别、污染物及污染治理设施见下表。</w:t>
            </w:r>
          </w:p>
          <w:p w14:paraId="78C3699E">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p>
          <w:p w14:paraId="3BD67F3E">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p>
          <w:p w14:paraId="271064A5">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p>
          <w:p w14:paraId="1C57875A">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p>
          <w:p w14:paraId="3D3FB026">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p>
          <w:p w14:paraId="4C232346">
            <w:pPr>
              <w:pStyle w:val="198"/>
              <w:keepNext w:val="0"/>
              <w:keepLines w:val="0"/>
              <w:pageBreakBefore w:val="0"/>
              <w:widowControl w:val="0"/>
              <w:kinsoku/>
              <w:overflowPunct/>
              <w:topLinePunct w:val="0"/>
              <w:autoSpaceDE/>
              <w:autoSpaceDN/>
              <w:bidi w:val="0"/>
              <w:spacing w:line="480" w:lineRule="atLeast"/>
              <w:textAlignment w:val="auto"/>
              <w:rPr>
                <w:rFonts w:hint="default" w:ascii="Times New Roman" w:hAnsi="Times New Roman" w:eastAsia="宋体" w:cs="Times New Roman"/>
                <w:b w:val="0"/>
                <w:bCs w:val="0"/>
                <w:color w:val="000000" w:themeColor="text1"/>
                <w:highlight w:val="none"/>
                <w14:textFill>
                  <w14:solidFill>
                    <w14:schemeClr w14:val="tx1"/>
                  </w14:solidFill>
                </w14:textFill>
              </w:rPr>
            </w:pPr>
            <w:r>
              <w:rPr>
                <w:rFonts w:hint="default" w:ascii="Times New Roman" w:hAnsi="Times New Roman" w:eastAsia="宋体" w:cs="Times New Roman"/>
                <w:b w:val="0"/>
                <w:bCs w:val="0"/>
                <w:color w:val="000000" w:themeColor="text1"/>
                <w:highlight w:val="none"/>
                <w14:textFill>
                  <w14:solidFill>
                    <w14:schemeClr w14:val="tx1"/>
                  </w14:solidFill>
                </w14:textFill>
              </w:rPr>
              <w:t>表4</w:t>
            </w:r>
            <w: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t>-6</w:t>
            </w:r>
            <w:r>
              <w:rPr>
                <w:rFonts w:hint="default" w:ascii="Times New Roman" w:hAnsi="Times New Roman" w:eastAsia="宋体" w:cs="Times New Roman"/>
                <w:b w:val="0"/>
                <w:bCs w:val="0"/>
                <w:color w:val="000000" w:themeColor="text1"/>
                <w:highlight w:val="none"/>
                <w14:textFill>
                  <w14:solidFill>
                    <w14:schemeClr w14:val="tx1"/>
                  </w14:solidFill>
                </w14:textFill>
              </w:rPr>
              <w:t xml:space="preserve"> </w:t>
            </w:r>
            <w:r>
              <w:rPr>
                <w:rFonts w:hint="default" w:ascii="Times New Roman" w:hAnsi="Times New Roman" w:eastAsia="宋体" w:cs="Times New Roman"/>
                <w:b w:val="0"/>
                <w:bCs w:val="0"/>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highlight w:val="none"/>
                <w14:textFill>
                  <w14:solidFill>
                    <w14:schemeClr w14:val="tx1"/>
                  </w14:solidFill>
                </w14:textFill>
              </w:rPr>
              <w:t>本</w:t>
            </w:r>
            <w:r>
              <w:rPr>
                <w:rFonts w:hint="default" w:ascii="Times New Roman" w:hAnsi="Times New Roman" w:eastAsia="宋体" w:cs="Times New Roman"/>
                <w:b w:val="0"/>
                <w:bCs w:val="0"/>
                <w:color w:val="000000" w:themeColor="text1"/>
                <w:highlight w:val="none"/>
                <w:lang w:val="en-US" w:eastAsia="zh-CN"/>
                <w14:textFill>
                  <w14:solidFill>
                    <w14:schemeClr w14:val="tx1"/>
                  </w14:solidFill>
                </w14:textFill>
              </w:rPr>
              <w:t>项目建成后全厂</w:t>
            </w:r>
            <w:r>
              <w:rPr>
                <w:rFonts w:hint="default" w:ascii="Times New Roman" w:hAnsi="Times New Roman" w:eastAsia="宋体" w:cs="Times New Roman"/>
                <w:b w:val="0"/>
                <w:bCs w:val="0"/>
                <w:color w:val="000000" w:themeColor="text1"/>
                <w:highlight w:val="none"/>
                <w14:textFill>
                  <w14:solidFill>
                    <w14:schemeClr w14:val="tx1"/>
                  </w14:solidFill>
                </w14:textFill>
              </w:rPr>
              <w:t>废水产排情况</w:t>
            </w:r>
          </w:p>
          <w:tbl>
            <w:tblPr>
              <w:tblStyle w:val="36"/>
              <w:tblpPr w:leftFromText="180" w:rightFromText="180" w:vertAnchor="text" w:horzAnchor="page" w:tblpX="286" w:tblpY="153"/>
              <w:tblOverlap w:val="never"/>
              <w:tblW w:w="8377" w:type="dxa"/>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872"/>
              <w:gridCol w:w="1144"/>
              <w:gridCol w:w="961"/>
              <w:gridCol w:w="950"/>
              <w:gridCol w:w="1177"/>
              <w:gridCol w:w="850"/>
              <w:gridCol w:w="1135"/>
            </w:tblGrid>
            <w:tr w14:paraId="4EAE319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445C6A2E">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废水来源</w:t>
                  </w:r>
                </w:p>
              </w:tc>
              <w:tc>
                <w:tcPr>
                  <w:tcW w:w="872" w:type="dxa"/>
                  <w:vMerge w:val="restart"/>
                  <w:noWrap w:val="0"/>
                  <w:vAlign w:val="center"/>
                </w:tcPr>
                <w:p w14:paraId="5AB661A8">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污染物名称</w:t>
                  </w:r>
                </w:p>
              </w:tc>
              <w:tc>
                <w:tcPr>
                  <w:tcW w:w="2105" w:type="dxa"/>
                  <w:gridSpan w:val="2"/>
                  <w:noWrap w:val="0"/>
                  <w:vAlign w:val="center"/>
                </w:tcPr>
                <w:p w14:paraId="63627D3F">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污染物产生量</w:t>
                  </w:r>
                </w:p>
              </w:tc>
              <w:tc>
                <w:tcPr>
                  <w:tcW w:w="950" w:type="dxa"/>
                  <w:vMerge w:val="restart"/>
                  <w:noWrap w:val="0"/>
                  <w:vAlign w:val="center"/>
                </w:tcPr>
                <w:p w14:paraId="14AE075B">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治理措施</w:t>
                  </w:r>
                </w:p>
              </w:tc>
              <w:tc>
                <w:tcPr>
                  <w:tcW w:w="1177" w:type="dxa"/>
                  <w:vMerge w:val="restart"/>
                  <w:noWrap w:val="0"/>
                  <w:vAlign w:val="center"/>
                </w:tcPr>
                <w:p w14:paraId="19520376">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污染物名称</w:t>
                  </w:r>
                </w:p>
              </w:tc>
              <w:tc>
                <w:tcPr>
                  <w:tcW w:w="1985" w:type="dxa"/>
                  <w:gridSpan w:val="2"/>
                  <w:noWrap w:val="0"/>
                  <w:vAlign w:val="center"/>
                </w:tcPr>
                <w:p w14:paraId="04722E91">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污染物排放量</w:t>
                  </w:r>
                </w:p>
              </w:tc>
            </w:tr>
            <w:tr w14:paraId="4462A21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504E0072">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72" w:type="dxa"/>
                  <w:vMerge w:val="continue"/>
                  <w:noWrap w:val="0"/>
                  <w:vAlign w:val="center"/>
                </w:tcPr>
                <w:p w14:paraId="62A81421">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1144" w:type="dxa"/>
                  <w:noWrap w:val="0"/>
                  <w:vAlign w:val="center"/>
                </w:tcPr>
                <w:p w14:paraId="24DBBC1D">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浓度</w:t>
                  </w:r>
                </w:p>
                <w:p w14:paraId="0DD416C6">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(mg/L)</w:t>
                  </w:r>
                </w:p>
              </w:tc>
              <w:tc>
                <w:tcPr>
                  <w:tcW w:w="961" w:type="dxa"/>
                  <w:noWrap w:val="0"/>
                  <w:vAlign w:val="center"/>
                </w:tcPr>
                <w:p w14:paraId="16C22011">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产生</w:t>
                  </w: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量</w:t>
                  </w:r>
                  <w:r>
                    <w:rPr>
                      <w:rFonts w:hint="default" w:ascii="Times New Roman" w:hAnsi="Times New Roman" w:eastAsia="宋体" w:cs="Times New Roman"/>
                      <w:b/>
                      <w:bCs/>
                      <w:color w:val="000000" w:themeColor="text1"/>
                      <w:sz w:val="18"/>
                      <w:szCs w:val="18"/>
                      <w:highlight w:val="none"/>
                      <w14:textFill>
                        <w14:solidFill>
                          <w14:schemeClr w14:val="tx1"/>
                        </w14:solidFill>
                      </w14:textFill>
                    </w:rPr>
                    <w:t>（t/a）</w:t>
                  </w:r>
                </w:p>
              </w:tc>
              <w:tc>
                <w:tcPr>
                  <w:tcW w:w="950" w:type="dxa"/>
                  <w:vMerge w:val="continue"/>
                  <w:noWrap w:val="0"/>
                  <w:vAlign w:val="center"/>
                </w:tcPr>
                <w:p w14:paraId="050F36C1">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1177" w:type="dxa"/>
                  <w:vMerge w:val="continue"/>
                  <w:noWrap w:val="0"/>
                  <w:vAlign w:val="center"/>
                </w:tcPr>
                <w:p w14:paraId="379D8E0C">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50" w:type="dxa"/>
                  <w:noWrap w:val="0"/>
                  <w:vAlign w:val="center"/>
                </w:tcPr>
                <w:p w14:paraId="51AAA8EA">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浓度</w:t>
                  </w:r>
                </w:p>
                <w:p w14:paraId="300B577B">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(mg/L)</w:t>
                  </w:r>
                </w:p>
              </w:tc>
              <w:tc>
                <w:tcPr>
                  <w:tcW w:w="1135" w:type="dxa"/>
                  <w:noWrap w:val="0"/>
                  <w:vAlign w:val="center"/>
                </w:tcPr>
                <w:p w14:paraId="7B51E902">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排放量</w:t>
                  </w:r>
                </w:p>
                <w:p w14:paraId="77ABF9E7">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（t/a）</w:t>
                  </w:r>
                </w:p>
              </w:tc>
            </w:tr>
            <w:tr w14:paraId="055695F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8" w:type="dxa"/>
                  <w:vMerge w:val="restart"/>
                  <w:noWrap w:val="0"/>
                  <w:vAlign w:val="center"/>
                </w:tcPr>
                <w:p w14:paraId="5E97F2D5">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酸碱废水</w:t>
                  </w:r>
                </w:p>
                <w:p w14:paraId="2FF5DB05">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9</w:t>
                  </w: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0000</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noWrap w:val="0"/>
                  <w:vAlign w:val="center"/>
                </w:tcPr>
                <w:p w14:paraId="3116E70E">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PH</w:t>
                  </w:r>
                </w:p>
              </w:tc>
              <w:tc>
                <w:tcPr>
                  <w:tcW w:w="1144" w:type="dxa"/>
                  <w:noWrap w:val="0"/>
                  <w:vAlign w:val="center"/>
                </w:tcPr>
                <w:p w14:paraId="40CF0A9A">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2-12</w:t>
                  </w:r>
                </w:p>
              </w:tc>
              <w:tc>
                <w:tcPr>
                  <w:tcW w:w="961" w:type="dxa"/>
                  <w:tcBorders>
                    <w:top w:val="nil"/>
                    <w:left w:val="nil"/>
                    <w:bottom w:val="single" w:color="auto" w:sz="8" w:space="0"/>
                    <w:right w:val="single" w:color="auto" w:sz="8" w:space="0"/>
                  </w:tcBorders>
                  <w:noWrap w:val="0"/>
                  <w:vAlign w:val="center"/>
                </w:tcPr>
                <w:p w14:paraId="30668BFF">
                  <w:pPr>
                    <w:widowControl/>
                    <w:jc w:val="center"/>
                    <w:textAlignment w:val="bottom"/>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950" w:type="dxa"/>
                  <w:vMerge w:val="restart"/>
                  <w:noWrap w:val="0"/>
                  <w:vAlign w:val="center"/>
                </w:tcPr>
                <w:p w14:paraId="28C43449">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中和+沉淀后排入平望污水处理厂</w:t>
                  </w:r>
                </w:p>
              </w:tc>
              <w:tc>
                <w:tcPr>
                  <w:tcW w:w="1177" w:type="dxa"/>
                  <w:noWrap w:val="0"/>
                  <w:vAlign w:val="center"/>
                </w:tcPr>
                <w:p w14:paraId="282D4FC5">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废水量</w:t>
                  </w:r>
                </w:p>
              </w:tc>
              <w:tc>
                <w:tcPr>
                  <w:tcW w:w="850" w:type="dxa"/>
                  <w:noWrap w:val="0"/>
                  <w:vAlign w:val="center"/>
                </w:tcPr>
                <w:p w14:paraId="15CE0AF4">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shd w:val="clear" w:color="auto" w:fill="auto"/>
                  <w:noWrap w:val="0"/>
                  <w:vAlign w:val="center"/>
                </w:tcPr>
                <w:p w14:paraId="1D7ABF39">
                  <w:pPr>
                    <w:keepNext w:val="0"/>
                    <w:keepLines w:val="0"/>
                    <w:widowControl/>
                    <w:suppressLineNumbers w:val="0"/>
                    <w:jc w:val="center"/>
                    <w:textAlignment w:val="cente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3</w:t>
                  </w: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74672</w:t>
                  </w:r>
                </w:p>
              </w:tc>
            </w:tr>
            <w:tr w14:paraId="15B5ADC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739A2BC3">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44621619">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COD</w:t>
                  </w:r>
                </w:p>
              </w:tc>
              <w:tc>
                <w:tcPr>
                  <w:tcW w:w="1144" w:type="dxa"/>
                  <w:noWrap w:val="0"/>
                  <w:vAlign w:val="center"/>
                </w:tcPr>
                <w:p w14:paraId="27739527">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60</w:t>
                  </w:r>
                </w:p>
              </w:tc>
              <w:tc>
                <w:tcPr>
                  <w:tcW w:w="961" w:type="dxa"/>
                  <w:tcBorders>
                    <w:top w:val="nil"/>
                    <w:left w:val="nil"/>
                    <w:bottom w:val="single" w:color="auto" w:sz="8" w:space="0"/>
                    <w:right w:val="single" w:color="auto" w:sz="8" w:space="0"/>
                  </w:tcBorders>
                  <w:noWrap w:val="0"/>
                  <w:vAlign w:val="center"/>
                </w:tcPr>
                <w:p w14:paraId="14DF32C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5.40</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 </w:t>
                  </w:r>
                </w:p>
              </w:tc>
              <w:tc>
                <w:tcPr>
                  <w:tcW w:w="950" w:type="dxa"/>
                  <w:vMerge w:val="continue"/>
                  <w:noWrap w:val="0"/>
                  <w:vAlign w:val="center"/>
                </w:tcPr>
                <w:p w14:paraId="4ABEE8C3">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4525D0C0">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850" w:type="dxa"/>
                  <w:noWrap w:val="0"/>
                  <w:vAlign w:val="center"/>
                </w:tcPr>
                <w:p w14:paraId="24FA56E8">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38.4</w:t>
                  </w:r>
                </w:p>
              </w:tc>
              <w:tc>
                <w:tcPr>
                  <w:tcW w:w="1135" w:type="dxa"/>
                  <w:noWrap w:val="0"/>
                  <w:vAlign w:val="center"/>
                </w:tcPr>
                <w:p w14:paraId="2B1A74AB">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14.22</w:t>
                  </w:r>
                </w:p>
              </w:tc>
            </w:tr>
            <w:tr w14:paraId="7D92F32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5D9C04B2">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66961342">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SS</w:t>
                  </w:r>
                </w:p>
              </w:tc>
              <w:tc>
                <w:tcPr>
                  <w:tcW w:w="1144" w:type="dxa"/>
                  <w:noWrap w:val="0"/>
                  <w:vAlign w:val="center"/>
                </w:tcPr>
                <w:p w14:paraId="30B8207D">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150</w:t>
                  </w:r>
                </w:p>
              </w:tc>
              <w:tc>
                <w:tcPr>
                  <w:tcW w:w="961" w:type="dxa"/>
                  <w:tcBorders>
                    <w:top w:val="nil"/>
                    <w:left w:val="nil"/>
                    <w:bottom w:val="single" w:color="auto" w:sz="8" w:space="0"/>
                    <w:right w:val="single" w:color="auto" w:sz="8" w:space="0"/>
                  </w:tcBorders>
                  <w:noWrap w:val="0"/>
                  <w:vAlign w:val="center"/>
                </w:tcPr>
                <w:p w14:paraId="654BC2B0">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13.50</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 </w:t>
                  </w:r>
                </w:p>
              </w:tc>
              <w:tc>
                <w:tcPr>
                  <w:tcW w:w="950" w:type="dxa"/>
                  <w:vMerge w:val="continue"/>
                  <w:noWrap w:val="0"/>
                  <w:vAlign w:val="center"/>
                </w:tcPr>
                <w:p w14:paraId="10815757">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68CA08EC">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850" w:type="dxa"/>
                  <w:noWrap w:val="0"/>
                  <w:vAlign w:val="center"/>
                </w:tcPr>
                <w:p w14:paraId="7F36F22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31.1</w:t>
                  </w:r>
                </w:p>
              </w:tc>
              <w:tc>
                <w:tcPr>
                  <w:tcW w:w="1135" w:type="dxa"/>
                  <w:noWrap w:val="0"/>
                  <w:vAlign w:val="center"/>
                </w:tcPr>
                <w:p w14:paraId="5146F6B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11.49</w:t>
                  </w:r>
                </w:p>
              </w:tc>
            </w:tr>
            <w:tr w14:paraId="183CFCA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090519B6">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反渗透浓水</w:t>
                  </w:r>
                </w:p>
                <w:p w14:paraId="59488B18">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9</w:t>
                  </w: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0000</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noWrap w:val="0"/>
                  <w:vAlign w:val="center"/>
                </w:tcPr>
                <w:p w14:paraId="7C0DEC5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COD</w:t>
                  </w:r>
                </w:p>
              </w:tc>
              <w:tc>
                <w:tcPr>
                  <w:tcW w:w="1144" w:type="dxa"/>
                  <w:noWrap w:val="0"/>
                  <w:vAlign w:val="center"/>
                </w:tcPr>
                <w:p w14:paraId="6BC2EA2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50</w:t>
                  </w:r>
                </w:p>
              </w:tc>
              <w:tc>
                <w:tcPr>
                  <w:tcW w:w="961" w:type="dxa"/>
                  <w:tcBorders>
                    <w:top w:val="nil"/>
                    <w:left w:val="nil"/>
                    <w:bottom w:val="single" w:color="auto" w:sz="8" w:space="0"/>
                    <w:right w:val="single" w:color="auto" w:sz="8" w:space="0"/>
                  </w:tcBorders>
                  <w:noWrap w:val="0"/>
                  <w:vAlign w:val="center"/>
                </w:tcPr>
                <w:p w14:paraId="726603A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4.50</w:t>
                  </w:r>
                </w:p>
              </w:tc>
              <w:tc>
                <w:tcPr>
                  <w:tcW w:w="950" w:type="dxa"/>
                  <w:vMerge w:val="continue"/>
                  <w:noWrap w:val="0"/>
                  <w:vAlign w:val="center"/>
                </w:tcPr>
                <w:p w14:paraId="6B8A101D">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13D4AE42">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850" w:type="dxa"/>
                  <w:noWrap w:val="0"/>
                  <w:vAlign w:val="center"/>
                </w:tcPr>
                <w:p w14:paraId="4D631457">
                  <w:pPr>
                    <w:pStyle w:val="198"/>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noWrap w:val="0"/>
                  <w:vAlign w:val="center"/>
                </w:tcPr>
                <w:p w14:paraId="73BEA3E0">
                  <w:pPr>
                    <w:widowControl/>
                    <w:jc w:val="center"/>
                    <w:textAlignment w:val="bottom"/>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233FA55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56797C76">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67C15E6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SS</w:t>
                  </w:r>
                </w:p>
              </w:tc>
              <w:tc>
                <w:tcPr>
                  <w:tcW w:w="1144" w:type="dxa"/>
                  <w:noWrap w:val="0"/>
                  <w:vAlign w:val="center"/>
                </w:tcPr>
                <w:p w14:paraId="4EAE3E5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cs="Times New Roman"/>
                      <w:i w:val="0"/>
                      <w:iCs w:val="0"/>
                      <w:color w:val="000000" w:themeColor="text1"/>
                      <w:kern w:val="0"/>
                      <w:sz w:val="18"/>
                      <w:szCs w:val="18"/>
                      <w:highlight w:val="none"/>
                      <w:u w:val="none"/>
                      <w:lang w:val="en-US" w:eastAsia="zh-CN" w:bidi="ar"/>
                      <w14:textFill>
                        <w14:solidFill>
                          <w14:schemeClr w14:val="tx1"/>
                        </w14:solidFill>
                      </w14:textFill>
                    </w:rPr>
                    <w:t>120</w:t>
                  </w:r>
                </w:p>
              </w:tc>
              <w:tc>
                <w:tcPr>
                  <w:tcW w:w="961" w:type="dxa"/>
                  <w:tcBorders>
                    <w:top w:val="nil"/>
                    <w:left w:val="nil"/>
                    <w:bottom w:val="single" w:color="auto" w:sz="8" w:space="0"/>
                    <w:right w:val="single" w:color="auto" w:sz="8" w:space="0"/>
                  </w:tcBorders>
                  <w:noWrap w:val="0"/>
                  <w:vAlign w:val="center"/>
                </w:tcPr>
                <w:p w14:paraId="0867D99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eastAsia" w:cs="Times New Roman"/>
                      <w:i w:val="0"/>
                      <w:iCs w:val="0"/>
                      <w:color w:val="000000" w:themeColor="text1"/>
                      <w:kern w:val="0"/>
                      <w:sz w:val="18"/>
                      <w:szCs w:val="18"/>
                      <w:highlight w:val="none"/>
                      <w:u w:val="none"/>
                      <w:lang w:val="en-US" w:eastAsia="zh-CN" w:bidi="ar"/>
                      <w14:textFill>
                        <w14:solidFill>
                          <w14:schemeClr w14:val="tx1"/>
                        </w14:solidFill>
                      </w14:textFill>
                    </w:rPr>
                    <w:t>10.80</w:t>
                  </w:r>
                </w:p>
              </w:tc>
              <w:tc>
                <w:tcPr>
                  <w:tcW w:w="950" w:type="dxa"/>
                  <w:vMerge w:val="continue"/>
                  <w:noWrap w:val="0"/>
                  <w:vAlign w:val="center"/>
                </w:tcPr>
                <w:p w14:paraId="60898F02">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05613DBB">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850" w:type="dxa"/>
                  <w:noWrap w:val="0"/>
                  <w:vAlign w:val="center"/>
                </w:tcPr>
                <w:p w14:paraId="0366EACD">
                  <w:pPr>
                    <w:pStyle w:val="198"/>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noWrap w:val="0"/>
                  <w:vAlign w:val="center"/>
                </w:tcPr>
                <w:p w14:paraId="1BE7E92C">
                  <w:pPr>
                    <w:widowControl/>
                    <w:jc w:val="center"/>
                    <w:textAlignment w:val="bottom"/>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05DEF5C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288" w:type="dxa"/>
                  <w:vMerge w:val="restart"/>
                  <w:noWrap w:val="0"/>
                  <w:vAlign w:val="center"/>
                </w:tcPr>
                <w:p w14:paraId="379C656D">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冷却塔排</w:t>
                  </w:r>
                  <w:r>
                    <w:rPr>
                      <w:rFonts w:hint="default" w:ascii="Times New Roman" w:hAnsi="Times New Roman" w:eastAsia="宋体" w:cs="Times New Roman"/>
                      <w:color w:val="000000" w:themeColor="text1"/>
                      <w:sz w:val="18"/>
                      <w:szCs w:val="18"/>
                      <w:highlight w:val="none"/>
                      <w14:textFill>
                        <w14:solidFill>
                          <w14:schemeClr w14:val="tx1"/>
                        </w14:solidFill>
                      </w14:textFill>
                    </w:rPr>
                    <w:t>水</w:t>
                  </w:r>
                </w:p>
                <w:p w14:paraId="1D42B70E">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0000</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noWrap w:val="0"/>
                  <w:vAlign w:val="center"/>
                </w:tcPr>
                <w:p w14:paraId="20B03195">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COD</w:t>
                  </w:r>
                </w:p>
              </w:tc>
              <w:tc>
                <w:tcPr>
                  <w:tcW w:w="1144" w:type="dxa"/>
                  <w:noWrap w:val="0"/>
                  <w:vAlign w:val="center"/>
                </w:tcPr>
                <w:p w14:paraId="6D1298F1">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w:t>
                  </w:r>
                </w:p>
              </w:tc>
              <w:tc>
                <w:tcPr>
                  <w:tcW w:w="961" w:type="dxa"/>
                  <w:noWrap w:val="0"/>
                  <w:vAlign w:val="center"/>
                </w:tcPr>
                <w:p w14:paraId="7CFB53D5">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5.70 </w:t>
                  </w:r>
                </w:p>
              </w:tc>
              <w:tc>
                <w:tcPr>
                  <w:tcW w:w="950" w:type="dxa"/>
                  <w:vMerge w:val="continue"/>
                  <w:noWrap w:val="0"/>
                  <w:vAlign w:val="center"/>
                </w:tcPr>
                <w:p w14:paraId="54345A44">
                  <w:pPr>
                    <w:pStyle w:val="198"/>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p>
              </w:tc>
              <w:tc>
                <w:tcPr>
                  <w:tcW w:w="1177" w:type="dxa"/>
                  <w:noWrap w:val="0"/>
                  <w:vAlign w:val="center"/>
                </w:tcPr>
                <w:p w14:paraId="7F377CC4">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850" w:type="dxa"/>
                  <w:noWrap w:val="0"/>
                  <w:vAlign w:val="center"/>
                </w:tcPr>
                <w:p w14:paraId="2C0C6661">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noWrap w:val="0"/>
                  <w:vAlign w:val="center"/>
                </w:tcPr>
                <w:p w14:paraId="7EA7F178">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78DF811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77693D96">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7C1A909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SS</w:t>
                  </w:r>
                </w:p>
              </w:tc>
              <w:tc>
                <w:tcPr>
                  <w:tcW w:w="1144" w:type="dxa"/>
                  <w:noWrap w:val="0"/>
                  <w:vAlign w:val="center"/>
                </w:tcPr>
                <w:p w14:paraId="7F0779C2">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w:t>
                  </w:r>
                </w:p>
              </w:tc>
              <w:tc>
                <w:tcPr>
                  <w:tcW w:w="961" w:type="dxa"/>
                  <w:noWrap w:val="0"/>
                  <w:vAlign w:val="center"/>
                </w:tcPr>
                <w:p w14:paraId="467F16A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5.70 </w:t>
                  </w:r>
                </w:p>
              </w:tc>
              <w:tc>
                <w:tcPr>
                  <w:tcW w:w="950" w:type="dxa"/>
                  <w:vMerge w:val="continue"/>
                  <w:noWrap w:val="0"/>
                  <w:vAlign w:val="center"/>
                </w:tcPr>
                <w:p w14:paraId="4097617F">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43E14505">
                  <w:pPr>
                    <w:pStyle w:val="198"/>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850" w:type="dxa"/>
                  <w:noWrap w:val="0"/>
                  <w:vAlign w:val="center"/>
                </w:tcPr>
                <w:p w14:paraId="0A29429A">
                  <w:pPr>
                    <w:pStyle w:val="198"/>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1135" w:type="dxa"/>
                  <w:noWrap w:val="0"/>
                  <w:vAlign w:val="center"/>
                </w:tcPr>
                <w:p w14:paraId="1E4C75A6">
                  <w:pPr>
                    <w:pStyle w:val="198"/>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5FD0BF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restart"/>
                  <w:noWrap w:val="0"/>
                  <w:vAlign w:val="center"/>
                </w:tcPr>
                <w:p w14:paraId="77625CBB">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生活污水</w:t>
                  </w:r>
                </w:p>
                <w:p w14:paraId="6D45B815">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lang w:val="en-US" w:eastAsia="zh-CN"/>
                      <w14:textFill>
                        <w14:solidFill>
                          <w14:schemeClr w14:val="tx1"/>
                        </w14:solidFill>
                      </w14:textFill>
                    </w:rPr>
                    <w:t>4672</w:t>
                  </w:r>
                  <w:r>
                    <w:rPr>
                      <w:rFonts w:hint="default" w:ascii="Times New Roman" w:hAnsi="Times New Roman" w:eastAsia="宋体" w:cs="Times New Roman"/>
                      <w:color w:val="000000" w:themeColor="text1"/>
                      <w:sz w:val="18"/>
                      <w:szCs w:val="18"/>
                      <w:highlight w:val="none"/>
                      <w14:textFill>
                        <w14:solidFill>
                          <w14:schemeClr w14:val="tx1"/>
                        </w14:solidFill>
                      </w14:textFill>
                    </w:rPr>
                    <w:t>t/a</w:t>
                  </w:r>
                </w:p>
              </w:tc>
              <w:tc>
                <w:tcPr>
                  <w:tcW w:w="872" w:type="dxa"/>
                  <w:noWrap w:val="0"/>
                  <w:vAlign w:val="center"/>
                </w:tcPr>
                <w:p w14:paraId="27CC5970">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COD</w:t>
                  </w:r>
                </w:p>
              </w:tc>
              <w:tc>
                <w:tcPr>
                  <w:tcW w:w="1144" w:type="dxa"/>
                  <w:noWrap w:val="0"/>
                  <w:vAlign w:val="center"/>
                </w:tcPr>
                <w:p w14:paraId="2FA47E35">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340</w:t>
                  </w:r>
                </w:p>
              </w:tc>
              <w:tc>
                <w:tcPr>
                  <w:tcW w:w="961" w:type="dxa"/>
                  <w:noWrap w:val="0"/>
                  <w:vAlign w:val="center"/>
                </w:tcPr>
                <w:p w14:paraId="229E3DA8">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1.59 </w:t>
                  </w:r>
                </w:p>
              </w:tc>
              <w:tc>
                <w:tcPr>
                  <w:tcW w:w="950" w:type="dxa"/>
                  <w:vMerge w:val="restart"/>
                  <w:noWrap w:val="0"/>
                  <w:vAlign w:val="center"/>
                </w:tcPr>
                <w:p w14:paraId="02416925">
                  <w:pPr>
                    <w:pStyle w:val="198"/>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排入平望生活污水处理有限公司</w:t>
                  </w:r>
                </w:p>
              </w:tc>
              <w:tc>
                <w:tcPr>
                  <w:tcW w:w="1177" w:type="dxa"/>
                  <w:noWrap w:val="0"/>
                  <w:vAlign w:val="center"/>
                </w:tcPr>
                <w:p w14:paraId="686B6A93">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COD</w:t>
                  </w:r>
                </w:p>
              </w:tc>
              <w:tc>
                <w:tcPr>
                  <w:tcW w:w="850" w:type="dxa"/>
                  <w:noWrap w:val="0"/>
                  <w:vAlign w:val="center"/>
                </w:tcPr>
                <w:p w14:paraId="279A31D6">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340</w:t>
                  </w:r>
                </w:p>
              </w:tc>
              <w:tc>
                <w:tcPr>
                  <w:tcW w:w="1135" w:type="dxa"/>
                  <w:noWrap w:val="0"/>
                  <w:vAlign w:val="center"/>
                </w:tcPr>
                <w:p w14:paraId="538442E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1.59 </w:t>
                  </w:r>
                </w:p>
              </w:tc>
            </w:tr>
            <w:tr w14:paraId="582FD7A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0D5B6FBF">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6B40E7F0">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SS</w:t>
                  </w:r>
                </w:p>
              </w:tc>
              <w:tc>
                <w:tcPr>
                  <w:tcW w:w="1144" w:type="dxa"/>
                  <w:noWrap w:val="0"/>
                  <w:vAlign w:val="center"/>
                </w:tcPr>
                <w:p w14:paraId="34801092">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w:t>
                  </w:r>
                </w:p>
              </w:tc>
              <w:tc>
                <w:tcPr>
                  <w:tcW w:w="961" w:type="dxa"/>
                  <w:noWrap w:val="0"/>
                  <w:vAlign w:val="center"/>
                </w:tcPr>
                <w:p w14:paraId="3921E6D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0.93 </w:t>
                  </w:r>
                </w:p>
              </w:tc>
              <w:tc>
                <w:tcPr>
                  <w:tcW w:w="950" w:type="dxa"/>
                  <w:vMerge w:val="continue"/>
                  <w:noWrap w:val="0"/>
                  <w:vAlign w:val="center"/>
                </w:tcPr>
                <w:p w14:paraId="64A40D70">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73BBD17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SS</w:t>
                  </w:r>
                </w:p>
              </w:tc>
              <w:tc>
                <w:tcPr>
                  <w:tcW w:w="850" w:type="dxa"/>
                  <w:noWrap w:val="0"/>
                  <w:vAlign w:val="center"/>
                </w:tcPr>
                <w:p w14:paraId="44E996A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w:t>
                  </w:r>
                </w:p>
              </w:tc>
              <w:tc>
                <w:tcPr>
                  <w:tcW w:w="1135" w:type="dxa"/>
                  <w:noWrap w:val="0"/>
                  <w:vAlign w:val="center"/>
                </w:tcPr>
                <w:p w14:paraId="5B36126D">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0.93 </w:t>
                  </w:r>
                </w:p>
              </w:tc>
            </w:tr>
            <w:tr w14:paraId="07AA5E1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076D95EF">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086EA3A5">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NH</w:t>
                  </w:r>
                  <w:r>
                    <w:rPr>
                      <w:rFonts w:hint="default" w:ascii="Times New Roman" w:hAnsi="Times New Roman" w:eastAsia="宋体" w:cs="Times New Roman"/>
                      <w:i w:val="0"/>
                      <w:iCs w:val="0"/>
                      <w:color w:val="000000" w:themeColor="text1"/>
                      <w:kern w:val="0"/>
                      <w:sz w:val="18"/>
                      <w:szCs w:val="18"/>
                      <w:highlight w:val="none"/>
                      <w:u w:val="none"/>
                      <w:vertAlign w:val="subscript"/>
                      <w:lang w:val="en-US" w:eastAsia="zh-CN" w:bidi="ar"/>
                      <w14:textFill>
                        <w14:solidFill>
                          <w14:schemeClr w14:val="tx1"/>
                        </w14:solidFill>
                      </w14:textFill>
                    </w:rPr>
                    <w:t>3</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-N</w:t>
                  </w:r>
                </w:p>
              </w:tc>
              <w:tc>
                <w:tcPr>
                  <w:tcW w:w="1144" w:type="dxa"/>
                  <w:noWrap w:val="0"/>
                  <w:vAlign w:val="center"/>
                </w:tcPr>
                <w:p w14:paraId="3CA17A7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45</w:t>
                  </w:r>
                </w:p>
              </w:tc>
              <w:tc>
                <w:tcPr>
                  <w:tcW w:w="961" w:type="dxa"/>
                  <w:noWrap w:val="0"/>
                  <w:vAlign w:val="center"/>
                </w:tcPr>
                <w:p w14:paraId="5A005595">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0.21 </w:t>
                  </w:r>
                </w:p>
              </w:tc>
              <w:tc>
                <w:tcPr>
                  <w:tcW w:w="950" w:type="dxa"/>
                  <w:vMerge w:val="continue"/>
                  <w:noWrap w:val="0"/>
                  <w:vAlign w:val="center"/>
                </w:tcPr>
                <w:p w14:paraId="54DF3010">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1191564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NH</w:t>
                  </w:r>
                  <w:r>
                    <w:rPr>
                      <w:rFonts w:hint="default" w:ascii="Times New Roman" w:hAnsi="Times New Roman" w:eastAsia="宋体" w:cs="Times New Roman"/>
                      <w:i w:val="0"/>
                      <w:iCs w:val="0"/>
                      <w:color w:val="000000" w:themeColor="text1"/>
                      <w:kern w:val="0"/>
                      <w:sz w:val="18"/>
                      <w:szCs w:val="18"/>
                      <w:highlight w:val="none"/>
                      <w:u w:val="none"/>
                      <w:vertAlign w:val="subscript"/>
                      <w:lang w:val="en-US" w:eastAsia="zh-CN" w:bidi="ar"/>
                      <w14:textFill>
                        <w14:solidFill>
                          <w14:schemeClr w14:val="tx1"/>
                        </w14:solidFill>
                      </w14:textFill>
                    </w:rPr>
                    <w:t>3</w:t>
                  </w: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-N</w:t>
                  </w:r>
                </w:p>
              </w:tc>
              <w:tc>
                <w:tcPr>
                  <w:tcW w:w="850" w:type="dxa"/>
                  <w:noWrap w:val="0"/>
                  <w:vAlign w:val="center"/>
                </w:tcPr>
                <w:p w14:paraId="7E4C320F">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45</w:t>
                  </w:r>
                </w:p>
              </w:tc>
              <w:tc>
                <w:tcPr>
                  <w:tcW w:w="1135" w:type="dxa"/>
                  <w:noWrap w:val="0"/>
                  <w:vAlign w:val="center"/>
                </w:tcPr>
                <w:p w14:paraId="6EF1CDB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0.21 </w:t>
                  </w:r>
                </w:p>
              </w:tc>
            </w:tr>
            <w:tr w14:paraId="26C76E5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5512824F">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02E7D329">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TP</w:t>
                  </w:r>
                </w:p>
              </w:tc>
              <w:tc>
                <w:tcPr>
                  <w:tcW w:w="1144" w:type="dxa"/>
                  <w:noWrap w:val="0"/>
                  <w:vAlign w:val="center"/>
                </w:tcPr>
                <w:p w14:paraId="58D89B53">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w:t>
                  </w:r>
                </w:p>
              </w:tc>
              <w:tc>
                <w:tcPr>
                  <w:tcW w:w="961" w:type="dxa"/>
                  <w:noWrap w:val="0"/>
                  <w:vAlign w:val="center"/>
                </w:tcPr>
                <w:p w14:paraId="4974DD9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0.03 </w:t>
                  </w:r>
                </w:p>
              </w:tc>
              <w:tc>
                <w:tcPr>
                  <w:tcW w:w="950" w:type="dxa"/>
                  <w:vMerge w:val="continue"/>
                  <w:noWrap w:val="0"/>
                  <w:vAlign w:val="center"/>
                </w:tcPr>
                <w:p w14:paraId="3544DB90">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08B4994A">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TP</w:t>
                  </w:r>
                </w:p>
              </w:tc>
              <w:tc>
                <w:tcPr>
                  <w:tcW w:w="850" w:type="dxa"/>
                  <w:noWrap w:val="0"/>
                  <w:vAlign w:val="center"/>
                </w:tcPr>
                <w:p w14:paraId="7015A778">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w:t>
                  </w:r>
                </w:p>
              </w:tc>
              <w:tc>
                <w:tcPr>
                  <w:tcW w:w="1135" w:type="dxa"/>
                  <w:noWrap w:val="0"/>
                  <w:vAlign w:val="center"/>
                </w:tcPr>
                <w:p w14:paraId="5EFE261B">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0.03 </w:t>
                  </w:r>
                </w:p>
              </w:tc>
            </w:tr>
            <w:tr w14:paraId="169A2D2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88" w:type="dxa"/>
                  <w:vMerge w:val="continue"/>
                  <w:noWrap w:val="0"/>
                  <w:vAlign w:val="center"/>
                </w:tcPr>
                <w:p w14:paraId="617F50FF">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2" w:type="dxa"/>
                  <w:noWrap w:val="0"/>
                  <w:vAlign w:val="center"/>
                </w:tcPr>
                <w:p w14:paraId="61D85F3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TN</w:t>
                  </w:r>
                </w:p>
              </w:tc>
              <w:tc>
                <w:tcPr>
                  <w:tcW w:w="1144" w:type="dxa"/>
                  <w:noWrap w:val="0"/>
                  <w:vAlign w:val="center"/>
                </w:tcPr>
                <w:p w14:paraId="01004E6C">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70</w:t>
                  </w:r>
                </w:p>
              </w:tc>
              <w:tc>
                <w:tcPr>
                  <w:tcW w:w="961" w:type="dxa"/>
                  <w:noWrap w:val="0"/>
                  <w:vAlign w:val="center"/>
                </w:tcPr>
                <w:p w14:paraId="0EB286A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0.33 </w:t>
                  </w:r>
                </w:p>
              </w:tc>
              <w:tc>
                <w:tcPr>
                  <w:tcW w:w="950" w:type="dxa"/>
                  <w:vMerge w:val="continue"/>
                  <w:noWrap w:val="0"/>
                  <w:vAlign w:val="center"/>
                </w:tcPr>
                <w:p w14:paraId="7BE801BB">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177" w:type="dxa"/>
                  <w:noWrap w:val="0"/>
                  <w:vAlign w:val="center"/>
                </w:tcPr>
                <w:p w14:paraId="542AC600">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TN</w:t>
                  </w:r>
                </w:p>
              </w:tc>
              <w:tc>
                <w:tcPr>
                  <w:tcW w:w="850" w:type="dxa"/>
                  <w:noWrap w:val="0"/>
                  <w:vAlign w:val="center"/>
                </w:tcPr>
                <w:p w14:paraId="5D99BC04">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70</w:t>
                  </w:r>
                </w:p>
              </w:tc>
              <w:tc>
                <w:tcPr>
                  <w:tcW w:w="1135" w:type="dxa"/>
                  <w:noWrap w:val="0"/>
                  <w:vAlign w:val="center"/>
                </w:tcPr>
                <w:p w14:paraId="7D3B048E">
                  <w:pPr>
                    <w:keepNext w:val="0"/>
                    <w:keepLines w:val="0"/>
                    <w:widowControl/>
                    <w:suppressLineNumbers w:val="0"/>
                    <w:jc w:val="center"/>
                    <w:textAlignment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 xml:space="preserve">0.33 </w:t>
                  </w:r>
                </w:p>
              </w:tc>
            </w:tr>
          </w:tbl>
          <w:p w14:paraId="333729F5">
            <w:pPr>
              <w:pStyle w:val="67"/>
              <w:numPr>
                <w:ilvl w:val="0"/>
                <w:numId w:val="0"/>
              </w:numPr>
              <w:adjustRightInd w:val="0"/>
              <w:snapToGrid w:val="0"/>
              <w:ind w:left="288" w:leftChars="0"/>
              <w:jc w:val="center"/>
              <w:rPr>
                <w:rFonts w:hint="eastAsia" w:cs="Times New Roman"/>
                <w:b w:val="0"/>
                <w:bCs/>
                <w:color w:val="000000" w:themeColor="text1"/>
                <w:szCs w:val="21"/>
                <w:highlight w:val="none"/>
                <w:lang w:val="en-US" w:eastAsia="zh-CN"/>
                <w14:textFill>
                  <w14:solidFill>
                    <w14:schemeClr w14:val="tx1"/>
                  </w14:solidFill>
                </w14:textFill>
              </w:rPr>
            </w:pPr>
          </w:p>
          <w:p w14:paraId="495FA659">
            <w:pPr>
              <w:pStyle w:val="67"/>
              <w:numPr>
                <w:ilvl w:val="0"/>
                <w:numId w:val="0"/>
              </w:numPr>
              <w:adjustRightInd w:val="0"/>
              <w:snapToGrid w:val="0"/>
              <w:ind w:left="288" w:leftChars="0"/>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eastAsia" w:cs="Times New Roman"/>
                <w:b w:val="0"/>
                <w:bCs/>
                <w:color w:val="000000" w:themeColor="text1"/>
                <w:szCs w:val="21"/>
                <w:highlight w:val="none"/>
                <w:lang w:val="en-US" w:eastAsia="zh-CN"/>
                <w14:textFill>
                  <w14:solidFill>
                    <w14:schemeClr w14:val="tx1"/>
                  </w14:solidFill>
                </w14:textFill>
              </w:rPr>
              <w:t>表4-7  本项目建成后全厂</w:t>
            </w:r>
            <w:r>
              <w:rPr>
                <w:rFonts w:hint="default" w:ascii="Times New Roman" w:hAnsi="Times New Roman" w:eastAsia="宋体" w:cs="Times New Roman"/>
                <w:b w:val="0"/>
                <w:bCs/>
                <w:color w:val="000000" w:themeColor="text1"/>
                <w:szCs w:val="21"/>
                <w:highlight w:val="none"/>
                <w14:textFill>
                  <w14:solidFill>
                    <w14:schemeClr w14:val="tx1"/>
                  </w14:solidFill>
                </w14:textFill>
              </w:rPr>
              <w:t>废水类别、污染物及污染治理设施信息表</w:t>
            </w:r>
          </w:p>
          <w:tbl>
            <w:tblPr>
              <w:tblStyle w:val="36"/>
              <w:tblW w:w="8368"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0" w:type="dxa"/>
                <w:bottom w:w="0" w:type="dxa"/>
                <w:right w:w="0" w:type="dxa"/>
              </w:tblCellMar>
            </w:tblPr>
            <w:tblGrid>
              <w:gridCol w:w="895"/>
              <w:gridCol w:w="563"/>
              <w:gridCol w:w="816"/>
              <w:gridCol w:w="736"/>
              <w:gridCol w:w="1176"/>
              <w:gridCol w:w="495"/>
              <w:gridCol w:w="515"/>
              <w:gridCol w:w="484"/>
              <w:gridCol w:w="694"/>
              <w:gridCol w:w="726"/>
              <w:gridCol w:w="1268"/>
            </w:tblGrid>
            <w:tr w14:paraId="69BBDB0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895" w:type="dxa"/>
                  <w:vMerge w:val="restart"/>
                  <w:tcBorders>
                    <w:tl2br w:val="nil"/>
                    <w:tr2bl w:val="nil"/>
                  </w:tcBorders>
                  <w:tcMar>
                    <w:top w:w="15" w:type="dxa"/>
                    <w:left w:w="15" w:type="dxa"/>
                    <w:right w:w="15" w:type="dxa"/>
                  </w:tcMar>
                  <w:vAlign w:val="center"/>
                </w:tcPr>
                <w:p w14:paraId="2BC93FC6">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序号</w:t>
                  </w:r>
                </w:p>
              </w:tc>
              <w:tc>
                <w:tcPr>
                  <w:tcW w:w="563" w:type="dxa"/>
                  <w:vMerge w:val="restart"/>
                  <w:tcBorders>
                    <w:tl2br w:val="nil"/>
                    <w:tr2bl w:val="nil"/>
                  </w:tcBorders>
                  <w:tcMar>
                    <w:top w:w="15" w:type="dxa"/>
                    <w:left w:w="15" w:type="dxa"/>
                    <w:right w:w="15" w:type="dxa"/>
                  </w:tcMar>
                  <w:vAlign w:val="center"/>
                </w:tcPr>
                <w:p w14:paraId="767BBA4B">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废水类别</w:t>
                  </w:r>
                </w:p>
              </w:tc>
              <w:tc>
                <w:tcPr>
                  <w:tcW w:w="816" w:type="dxa"/>
                  <w:vMerge w:val="restart"/>
                  <w:tcBorders>
                    <w:tl2br w:val="nil"/>
                    <w:tr2bl w:val="nil"/>
                  </w:tcBorders>
                  <w:tcMar>
                    <w:top w:w="15" w:type="dxa"/>
                    <w:left w:w="15" w:type="dxa"/>
                    <w:right w:w="15" w:type="dxa"/>
                  </w:tcMar>
                  <w:vAlign w:val="center"/>
                </w:tcPr>
                <w:p w14:paraId="121D2DD4">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污染物种类</w:t>
                  </w:r>
                </w:p>
              </w:tc>
              <w:tc>
                <w:tcPr>
                  <w:tcW w:w="736" w:type="dxa"/>
                  <w:vMerge w:val="restart"/>
                  <w:tcBorders>
                    <w:tl2br w:val="nil"/>
                    <w:tr2bl w:val="nil"/>
                  </w:tcBorders>
                  <w:tcMar>
                    <w:top w:w="15" w:type="dxa"/>
                    <w:left w:w="15" w:type="dxa"/>
                    <w:right w:w="15" w:type="dxa"/>
                  </w:tcMar>
                  <w:vAlign w:val="center"/>
                </w:tcPr>
                <w:p w14:paraId="7E0A1A0C">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排放去向</w:t>
                  </w:r>
                </w:p>
              </w:tc>
              <w:tc>
                <w:tcPr>
                  <w:tcW w:w="1176" w:type="dxa"/>
                  <w:vMerge w:val="restart"/>
                  <w:tcBorders>
                    <w:tl2br w:val="nil"/>
                    <w:tr2bl w:val="nil"/>
                  </w:tcBorders>
                  <w:tcMar>
                    <w:top w:w="15" w:type="dxa"/>
                    <w:left w:w="15" w:type="dxa"/>
                    <w:right w:w="15" w:type="dxa"/>
                  </w:tcMar>
                  <w:vAlign w:val="center"/>
                </w:tcPr>
                <w:p w14:paraId="504D6094">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排放规律</w:t>
                  </w:r>
                </w:p>
              </w:tc>
              <w:tc>
                <w:tcPr>
                  <w:tcW w:w="1494" w:type="dxa"/>
                  <w:gridSpan w:val="3"/>
                  <w:tcBorders>
                    <w:tl2br w:val="nil"/>
                    <w:tr2bl w:val="nil"/>
                  </w:tcBorders>
                  <w:tcMar>
                    <w:top w:w="15" w:type="dxa"/>
                    <w:left w:w="15" w:type="dxa"/>
                    <w:right w:w="15" w:type="dxa"/>
                  </w:tcMar>
                  <w:vAlign w:val="center"/>
                </w:tcPr>
                <w:p w14:paraId="4F425D7B">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污染治理设施</w:t>
                  </w:r>
                </w:p>
              </w:tc>
              <w:tc>
                <w:tcPr>
                  <w:tcW w:w="694" w:type="dxa"/>
                  <w:vMerge w:val="restart"/>
                  <w:tcBorders>
                    <w:tl2br w:val="nil"/>
                    <w:tr2bl w:val="nil"/>
                  </w:tcBorders>
                  <w:tcMar>
                    <w:top w:w="15" w:type="dxa"/>
                    <w:left w:w="15" w:type="dxa"/>
                    <w:right w:w="15" w:type="dxa"/>
                  </w:tcMar>
                  <w:vAlign w:val="center"/>
                </w:tcPr>
                <w:p w14:paraId="6CEEFC59">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排放口编号</w:t>
                  </w:r>
                </w:p>
              </w:tc>
              <w:tc>
                <w:tcPr>
                  <w:tcW w:w="726" w:type="dxa"/>
                  <w:vMerge w:val="restart"/>
                  <w:tcBorders>
                    <w:tl2br w:val="nil"/>
                    <w:tr2bl w:val="nil"/>
                  </w:tcBorders>
                  <w:tcMar>
                    <w:top w:w="15" w:type="dxa"/>
                    <w:left w:w="15" w:type="dxa"/>
                    <w:right w:w="15" w:type="dxa"/>
                  </w:tcMar>
                  <w:vAlign w:val="center"/>
                </w:tcPr>
                <w:p w14:paraId="2329091C">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排放口设置是否符合要求</w:t>
                  </w:r>
                </w:p>
              </w:tc>
              <w:tc>
                <w:tcPr>
                  <w:tcW w:w="1268" w:type="dxa"/>
                  <w:vMerge w:val="restart"/>
                  <w:tcBorders>
                    <w:tl2br w:val="nil"/>
                    <w:tr2bl w:val="nil"/>
                  </w:tcBorders>
                  <w:tcMar>
                    <w:top w:w="15" w:type="dxa"/>
                    <w:left w:w="15" w:type="dxa"/>
                    <w:right w:w="15" w:type="dxa"/>
                  </w:tcMar>
                  <w:vAlign w:val="center"/>
                </w:tcPr>
                <w:p w14:paraId="1067B0A1">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排放口类型</w:t>
                  </w:r>
                </w:p>
              </w:tc>
            </w:tr>
            <w:tr w14:paraId="7C9C889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049" w:hRule="atLeast"/>
                <w:jc w:val="center"/>
              </w:trPr>
              <w:tc>
                <w:tcPr>
                  <w:tcW w:w="895" w:type="dxa"/>
                  <w:vMerge w:val="continue"/>
                  <w:tcBorders>
                    <w:tl2br w:val="nil"/>
                    <w:tr2bl w:val="nil"/>
                  </w:tcBorders>
                  <w:tcMar>
                    <w:top w:w="15" w:type="dxa"/>
                    <w:left w:w="15" w:type="dxa"/>
                    <w:right w:w="15" w:type="dxa"/>
                  </w:tcMar>
                  <w:vAlign w:val="center"/>
                </w:tcPr>
                <w:p w14:paraId="6B4AA826">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563" w:type="dxa"/>
                  <w:vMerge w:val="continue"/>
                  <w:tcBorders>
                    <w:tl2br w:val="nil"/>
                    <w:tr2bl w:val="nil"/>
                  </w:tcBorders>
                  <w:tcMar>
                    <w:top w:w="15" w:type="dxa"/>
                    <w:left w:w="15" w:type="dxa"/>
                    <w:right w:w="15" w:type="dxa"/>
                  </w:tcMar>
                  <w:vAlign w:val="center"/>
                </w:tcPr>
                <w:p w14:paraId="072CD890">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816" w:type="dxa"/>
                  <w:vMerge w:val="continue"/>
                  <w:tcBorders>
                    <w:tl2br w:val="nil"/>
                    <w:tr2bl w:val="nil"/>
                  </w:tcBorders>
                  <w:tcMar>
                    <w:top w:w="15" w:type="dxa"/>
                    <w:left w:w="15" w:type="dxa"/>
                    <w:right w:w="15" w:type="dxa"/>
                  </w:tcMar>
                  <w:vAlign w:val="center"/>
                </w:tcPr>
                <w:p w14:paraId="6272DE9D">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736" w:type="dxa"/>
                  <w:vMerge w:val="continue"/>
                  <w:tcBorders>
                    <w:tl2br w:val="nil"/>
                    <w:tr2bl w:val="nil"/>
                  </w:tcBorders>
                  <w:tcMar>
                    <w:top w:w="15" w:type="dxa"/>
                    <w:left w:w="15" w:type="dxa"/>
                    <w:right w:w="15" w:type="dxa"/>
                  </w:tcMar>
                  <w:vAlign w:val="center"/>
                </w:tcPr>
                <w:p w14:paraId="54BD0F16">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1176" w:type="dxa"/>
                  <w:vMerge w:val="continue"/>
                  <w:tcBorders>
                    <w:tl2br w:val="nil"/>
                    <w:tr2bl w:val="nil"/>
                  </w:tcBorders>
                  <w:tcMar>
                    <w:top w:w="15" w:type="dxa"/>
                    <w:left w:w="15" w:type="dxa"/>
                    <w:right w:w="15" w:type="dxa"/>
                  </w:tcMar>
                  <w:vAlign w:val="center"/>
                </w:tcPr>
                <w:p w14:paraId="55A7111E">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495" w:type="dxa"/>
                  <w:tcBorders>
                    <w:tl2br w:val="nil"/>
                    <w:tr2bl w:val="nil"/>
                  </w:tcBorders>
                  <w:tcMar>
                    <w:top w:w="15" w:type="dxa"/>
                    <w:left w:w="15" w:type="dxa"/>
                    <w:right w:w="15" w:type="dxa"/>
                  </w:tcMar>
                  <w:vAlign w:val="center"/>
                </w:tcPr>
                <w:p w14:paraId="5DEFD63B">
                  <w:pPr>
                    <w:widowControl/>
                    <w:jc w:val="center"/>
                    <w:textAlignment w:val="bottom"/>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污染治理设施编号</w:t>
                  </w:r>
                </w:p>
              </w:tc>
              <w:tc>
                <w:tcPr>
                  <w:tcW w:w="515" w:type="dxa"/>
                  <w:tcBorders>
                    <w:tl2br w:val="nil"/>
                    <w:tr2bl w:val="nil"/>
                  </w:tcBorders>
                  <w:tcMar>
                    <w:top w:w="15" w:type="dxa"/>
                    <w:left w:w="15" w:type="dxa"/>
                    <w:right w:w="15" w:type="dxa"/>
                  </w:tcMar>
                  <w:vAlign w:val="center"/>
                </w:tcPr>
                <w:p w14:paraId="089D6926">
                  <w:pPr>
                    <w:widowControl/>
                    <w:jc w:val="center"/>
                    <w:textAlignment w:val="bottom"/>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污染治理设施名称</w:t>
                  </w:r>
                </w:p>
              </w:tc>
              <w:tc>
                <w:tcPr>
                  <w:tcW w:w="484" w:type="dxa"/>
                  <w:tcBorders>
                    <w:tl2br w:val="nil"/>
                    <w:tr2bl w:val="nil"/>
                  </w:tcBorders>
                  <w:tcMar>
                    <w:top w:w="15" w:type="dxa"/>
                    <w:left w:w="15" w:type="dxa"/>
                    <w:right w:w="15" w:type="dxa"/>
                  </w:tcMar>
                  <w:vAlign w:val="center"/>
                </w:tcPr>
                <w:p w14:paraId="6C72701A">
                  <w:pPr>
                    <w:widowControl/>
                    <w:jc w:val="center"/>
                    <w:textAlignment w:val="bottom"/>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pPr>
                  <w:r>
                    <w:rPr>
                      <w:rFonts w:hint="default" w:ascii="Times New Roman" w:hAnsi="Times New Roman" w:eastAsia="宋体" w:cs="Times New Roman"/>
                      <w:b/>
                      <w:bCs/>
                      <w:color w:val="000000" w:themeColor="text1"/>
                      <w:kern w:val="0"/>
                      <w:sz w:val="18"/>
                      <w:szCs w:val="18"/>
                      <w:highlight w:val="none"/>
                      <w:lang w:bidi="ar"/>
                      <w14:textFill>
                        <w14:solidFill>
                          <w14:schemeClr w14:val="tx1"/>
                        </w14:solidFill>
                      </w14:textFill>
                    </w:rPr>
                    <w:t>污染治理设施工艺</w:t>
                  </w:r>
                </w:p>
              </w:tc>
              <w:tc>
                <w:tcPr>
                  <w:tcW w:w="694" w:type="dxa"/>
                  <w:vMerge w:val="continue"/>
                  <w:tcBorders>
                    <w:tl2br w:val="nil"/>
                    <w:tr2bl w:val="nil"/>
                  </w:tcBorders>
                  <w:tcMar>
                    <w:top w:w="15" w:type="dxa"/>
                    <w:left w:w="15" w:type="dxa"/>
                    <w:right w:w="15" w:type="dxa"/>
                  </w:tcMar>
                  <w:vAlign w:val="center"/>
                </w:tcPr>
                <w:p w14:paraId="28B69270">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p>
              </w:tc>
              <w:tc>
                <w:tcPr>
                  <w:tcW w:w="726" w:type="dxa"/>
                  <w:vMerge w:val="continue"/>
                  <w:tcBorders>
                    <w:tl2br w:val="nil"/>
                    <w:tr2bl w:val="nil"/>
                  </w:tcBorders>
                  <w:tcMar>
                    <w:top w:w="15" w:type="dxa"/>
                    <w:left w:w="15" w:type="dxa"/>
                    <w:right w:w="15" w:type="dxa"/>
                  </w:tcMar>
                  <w:vAlign w:val="center"/>
                </w:tcPr>
                <w:p w14:paraId="6B6EF906">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268" w:type="dxa"/>
                  <w:vMerge w:val="continue"/>
                  <w:tcBorders>
                    <w:tl2br w:val="nil"/>
                    <w:tr2bl w:val="nil"/>
                  </w:tcBorders>
                  <w:tcMar>
                    <w:top w:w="15" w:type="dxa"/>
                    <w:left w:w="15" w:type="dxa"/>
                    <w:right w:w="15" w:type="dxa"/>
                  </w:tcMar>
                  <w:vAlign w:val="center"/>
                </w:tcPr>
                <w:p w14:paraId="2D771E38">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18CE36A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852" w:hRule="atLeast"/>
                <w:jc w:val="center"/>
              </w:trPr>
              <w:tc>
                <w:tcPr>
                  <w:tcW w:w="895" w:type="dxa"/>
                  <w:tcBorders>
                    <w:tl2br w:val="nil"/>
                    <w:tr2bl w:val="nil"/>
                  </w:tcBorders>
                  <w:tcMar>
                    <w:top w:w="15" w:type="dxa"/>
                    <w:left w:w="15" w:type="dxa"/>
                    <w:right w:w="15" w:type="dxa"/>
                  </w:tcMar>
                  <w:vAlign w:val="center"/>
                </w:tcPr>
                <w:p w14:paraId="5D340E87">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1</w:t>
                  </w:r>
                </w:p>
              </w:tc>
              <w:tc>
                <w:tcPr>
                  <w:tcW w:w="563" w:type="dxa"/>
                  <w:tcBorders>
                    <w:tl2br w:val="nil"/>
                    <w:tr2bl w:val="nil"/>
                  </w:tcBorders>
                  <w:tcMar>
                    <w:top w:w="15" w:type="dxa"/>
                    <w:left w:w="15" w:type="dxa"/>
                    <w:right w:w="15" w:type="dxa"/>
                  </w:tcMar>
                  <w:vAlign w:val="center"/>
                </w:tcPr>
                <w:p w14:paraId="2D76ABC4">
                  <w:pPr>
                    <w:widowControl/>
                    <w:jc w:val="center"/>
                    <w:textAlignment w:val="bottom"/>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bidi="ar"/>
                      <w14:textFill>
                        <w14:solidFill>
                          <w14:schemeClr w14:val="tx1"/>
                        </w14:solidFill>
                      </w14:textFill>
                    </w:rPr>
                    <w:t>生产废水</w:t>
                  </w:r>
                </w:p>
              </w:tc>
              <w:tc>
                <w:tcPr>
                  <w:tcW w:w="816" w:type="dxa"/>
                  <w:tcBorders>
                    <w:tl2br w:val="nil"/>
                    <w:tr2bl w:val="nil"/>
                  </w:tcBorders>
                  <w:tcMar>
                    <w:top w:w="15" w:type="dxa"/>
                    <w:left w:w="15" w:type="dxa"/>
                    <w:right w:w="15" w:type="dxa"/>
                  </w:tcMar>
                  <w:vAlign w:val="center"/>
                </w:tcPr>
                <w:p w14:paraId="3AB3FC6E">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COD、SS</w:t>
                  </w:r>
                </w:p>
              </w:tc>
              <w:tc>
                <w:tcPr>
                  <w:tcW w:w="736" w:type="dxa"/>
                  <w:tcBorders>
                    <w:tl2br w:val="nil"/>
                    <w:tr2bl w:val="nil"/>
                  </w:tcBorders>
                  <w:tcMar>
                    <w:top w:w="15" w:type="dxa"/>
                    <w:left w:w="15" w:type="dxa"/>
                    <w:right w:w="15" w:type="dxa"/>
                  </w:tcMar>
                  <w:vAlign w:val="center"/>
                </w:tcPr>
                <w:p w14:paraId="1EF90247">
                  <w:pPr>
                    <w:widowControl/>
                    <w:jc w:val="center"/>
                    <w:textAlignment w:val="bottom"/>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平望生活污水处理有限公司</w:t>
                  </w:r>
                </w:p>
              </w:tc>
              <w:tc>
                <w:tcPr>
                  <w:tcW w:w="1176" w:type="dxa"/>
                  <w:tcBorders>
                    <w:tl2br w:val="nil"/>
                    <w:tr2bl w:val="nil"/>
                  </w:tcBorders>
                  <w:tcMar>
                    <w:top w:w="15" w:type="dxa"/>
                    <w:left w:w="15" w:type="dxa"/>
                    <w:right w:w="15" w:type="dxa"/>
                  </w:tcMar>
                  <w:vAlign w:val="center"/>
                </w:tcPr>
                <w:p w14:paraId="2B37E1D0">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连续排放，流量不稳定且无规律，但不属于冲击型排放</w:t>
                  </w:r>
                </w:p>
              </w:tc>
              <w:tc>
                <w:tcPr>
                  <w:tcW w:w="495" w:type="dxa"/>
                  <w:tcBorders>
                    <w:tl2br w:val="nil"/>
                    <w:tr2bl w:val="nil"/>
                  </w:tcBorders>
                  <w:tcMar>
                    <w:top w:w="15" w:type="dxa"/>
                    <w:left w:w="15" w:type="dxa"/>
                    <w:right w:w="15" w:type="dxa"/>
                  </w:tcMar>
                  <w:vAlign w:val="center"/>
                </w:tcPr>
                <w:p w14:paraId="72C463FD">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515" w:type="dxa"/>
                  <w:tcBorders>
                    <w:tl2br w:val="nil"/>
                    <w:tr2bl w:val="nil"/>
                  </w:tcBorders>
                  <w:tcMar>
                    <w:top w:w="15" w:type="dxa"/>
                    <w:left w:w="15" w:type="dxa"/>
                    <w:right w:w="15" w:type="dxa"/>
                  </w:tcMar>
                  <w:vAlign w:val="center"/>
                </w:tcPr>
                <w:p w14:paraId="7073AEC2">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dxa"/>
                  <w:tcBorders>
                    <w:tl2br w:val="nil"/>
                    <w:tr2bl w:val="nil"/>
                  </w:tcBorders>
                  <w:tcMar>
                    <w:top w:w="15" w:type="dxa"/>
                    <w:left w:w="15" w:type="dxa"/>
                    <w:right w:w="15" w:type="dxa"/>
                  </w:tcMar>
                  <w:vAlign w:val="center"/>
                </w:tcPr>
                <w:p w14:paraId="1F06EEF6">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694" w:type="dxa"/>
                  <w:tcBorders>
                    <w:tl2br w:val="nil"/>
                    <w:tr2bl w:val="nil"/>
                  </w:tcBorders>
                  <w:tcMar>
                    <w:top w:w="15" w:type="dxa"/>
                    <w:left w:w="15" w:type="dxa"/>
                    <w:right w:w="15" w:type="dxa"/>
                  </w:tcMar>
                  <w:vAlign w:val="center"/>
                </w:tcPr>
                <w:p w14:paraId="1449B1CA">
                  <w:pPr>
                    <w:widowControl/>
                    <w:jc w:val="center"/>
                    <w:textAlignment w:val="bottom"/>
                    <w:rPr>
                      <w:rFonts w:hint="eastAsia"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DW00</w:t>
                  </w:r>
                  <w:r>
                    <w:rPr>
                      <w:rFonts w:hint="eastAsia" w:cs="Times New Roman"/>
                      <w:color w:val="000000" w:themeColor="text1"/>
                      <w:kern w:val="0"/>
                      <w:sz w:val="18"/>
                      <w:szCs w:val="18"/>
                      <w:highlight w:val="none"/>
                      <w:lang w:eastAsia="zh-CN" w:bidi="ar"/>
                      <w14:textFill>
                        <w14:solidFill>
                          <w14:schemeClr w14:val="tx1"/>
                        </w14:solidFill>
                      </w14:textFill>
                    </w:rPr>
                    <w:t>2</w:t>
                  </w:r>
                </w:p>
              </w:tc>
              <w:tc>
                <w:tcPr>
                  <w:tcW w:w="726" w:type="dxa"/>
                  <w:tcBorders>
                    <w:tl2br w:val="nil"/>
                    <w:tr2bl w:val="nil"/>
                  </w:tcBorders>
                  <w:tcMar>
                    <w:top w:w="15" w:type="dxa"/>
                    <w:left w:w="15" w:type="dxa"/>
                    <w:right w:w="15" w:type="dxa"/>
                  </w:tcMar>
                  <w:vAlign w:val="center"/>
                </w:tcPr>
                <w:p w14:paraId="137A2610">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sym w:font="Wingdings 2" w:char="F052"/>
                  </w: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是□否</w:t>
                  </w:r>
                </w:p>
              </w:tc>
              <w:tc>
                <w:tcPr>
                  <w:tcW w:w="1268" w:type="dxa"/>
                  <w:tcBorders>
                    <w:tl2br w:val="nil"/>
                    <w:tr2bl w:val="nil"/>
                  </w:tcBorders>
                  <w:tcMar>
                    <w:top w:w="15" w:type="dxa"/>
                    <w:left w:w="15" w:type="dxa"/>
                    <w:right w:w="15" w:type="dxa"/>
                  </w:tcMar>
                  <w:vAlign w:val="center"/>
                </w:tcPr>
                <w:p w14:paraId="7A3F5555">
                  <w:pPr>
                    <w:widowControl/>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sym w:font="Wingdings 2" w:char="0052"/>
                  </w: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生产废水排放口</w:t>
                  </w:r>
                </w:p>
              </w:tc>
            </w:tr>
            <w:tr w14:paraId="1534747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1852" w:hRule="atLeast"/>
                <w:jc w:val="center"/>
              </w:trPr>
              <w:tc>
                <w:tcPr>
                  <w:tcW w:w="895" w:type="dxa"/>
                  <w:tcBorders>
                    <w:tl2br w:val="nil"/>
                    <w:tr2bl w:val="nil"/>
                  </w:tcBorders>
                  <w:tcMar>
                    <w:top w:w="15" w:type="dxa"/>
                    <w:left w:w="15" w:type="dxa"/>
                    <w:right w:w="15" w:type="dxa"/>
                  </w:tcMar>
                  <w:vAlign w:val="center"/>
                </w:tcPr>
                <w:p w14:paraId="5597BA36">
                  <w:pPr>
                    <w:widowControl/>
                    <w:jc w:val="center"/>
                    <w:textAlignment w:val="bottom"/>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2</w:t>
                  </w:r>
                </w:p>
              </w:tc>
              <w:tc>
                <w:tcPr>
                  <w:tcW w:w="563" w:type="dxa"/>
                  <w:tcBorders>
                    <w:tl2br w:val="nil"/>
                    <w:tr2bl w:val="nil"/>
                  </w:tcBorders>
                  <w:shd w:val="clear" w:color="auto" w:fill="auto"/>
                  <w:tcMar>
                    <w:top w:w="15" w:type="dxa"/>
                    <w:left w:w="15" w:type="dxa"/>
                    <w:right w:w="15" w:type="dxa"/>
                  </w:tcMar>
                  <w:vAlign w:val="center"/>
                </w:tcPr>
                <w:p w14:paraId="61C071BC">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生活污水</w:t>
                  </w:r>
                </w:p>
              </w:tc>
              <w:tc>
                <w:tcPr>
                  <w:tcW w:w="816" w:type="dxa"/>
                  <w:tcBorders>
                    <w:tl2br w:val="nil"/>
                    <w:tr2bl w:val="nil"/>
                  </w:tcBorders>
                  <w:shd w:val="clear" w:color="auto" w:fill="auto"/>
                  <w:tcMar>
                    <w:top w:w="15" w:type="dxa"/>
                    <w:left w:w="15" w:type="dxa"/>
                    <w:right w:w="15" w:type="dxa"/>
                  </w:tcMar>
                  <w:vAlign w:val="center"/>
                </w:tcPr>
                <w:p w14:paraId="061120E9">
                  <w:pPr>
                    <w:widowControl/>
                    <w:jc w:val="center"/>
                    <w:textAlignment w:val="bottom"/>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COD、SS、NH</w:t>
                  </w:r>
                  <w:r>
                    <w:rPr>
                      <w:rFonts w:hint="default" w:ascii="Times New Roman" w:hAnsi="Times New Roman" w:eastAsia="宋体" w:cs="Times New Roman"/>
                      <w:color w:val="000000" w:themeColor="text1"/>
                      <w:kern w:val="0"/>
                      <w:sz w:val="18"/>
                      <w:szCs w:val="18"/>
                      <w:highlight w:val="none"/>
                      <w:vertAlign w:val="subscript"/>
                      <w:lang w:bidi="ar"/>
                      <w14:textFill>
                        <w14:solidFill>
                          <w14:schemeClr w14:val="tx1"/>
                        </w14:solidFill>
                      </w14:textFill>
                    </w:rPr>
                    <w:t>3</w:t>
                  </w: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-N、TN、</w:t>
                  </w:r>
                </w:p>
                <w:p w14:paraId="6A920981">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TP</w:t>
                  </w:r>
                </w:p>
              </w:tc>
              <w:tc>
                <w:tcPr>
                  <w:tcW w:w="736" w:type="dxa"/>
                  <w:tcBorders>
                    <w:tl2br w:val="nil"/>
                    <w:tr2bl w:val="nil"/>
                  </w:tcBorders>
                  <w:shd w:val="clear" w:color="auto" w:fill="auto"/>
                  <w:tcMar>
                    <w:top w:w="15" w:type="dxa"/>
                    <w:left w:w="15" w:type="dxa"/>
                    <w:right w:w="15" w:type="dxa"/>
                  </w:tcMar>
                  <w:vAlign w:val="center"/>
                </w:tcPr>
                <w:p w14:paraId="3563C2B1">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平望镇污水处理厂</w:t>
                  </w:r>
                </w:p>
              </w:tc>
              <w:tc>
                <w:tcPr>
                  <w:tcW w:w="1176" w:type="dxa"/>
                  <w:tcBorders>
                    <w:tl2br w:val="nil"/>
                    <w:tr2bl w:val="nil"/>
                  </w:tcBorders>
                  <w:shd w:val="clear" w:color="auto" w:fill="auto"/>
                  <w:tcMar>
                    <w:top w:w="15" w:type="dxa"/>
                    <w:left w:w="15" w:type="dxa"/>
                    <w:right w:w="15" w:type="dxa"/>
                  </w:tcMar>
                  <w:vAlign w:val="center"/>
                </w:tcPr>
                <w:p w14:paraId="061581AB">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连续排放，流量不稳定且无规律，但不属于冲击型排放</w:t>
                  </w:r>
                </w:p>
              </w:tc>
              <w:tc>
                <w:tcPr>
                  <w:tcW w:w="495" w:type="dxa"/>
                  <w:tcBorders>
                    <w:tl2br w:val="nil"/>
                    <w:tr2bl w:val="nil"/>
                  </w:tcBorders>
                  <w:shd w:val="clear" w:color="auto" w:fill="auto"/>
                  <w:tcMar>
                    <w:top w:w="15" w:type="dxa"/>
                    <w:left w:w="15" w:type="dxa"/>
                    <w:right w:w="15" w:type="dxa"/>
                  </w:tcMar>
                  <w:vAlign w:val="center"/>
                </w:tcPr>
                <w:p w14:paraId="3CB752E5">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515" w:type="dxa"/>
                  <w:tcBorders>
                    <w:tl2br w:val="nil"/>
                    <w:tr2bl w:val="nil"/>
                  </w:tcBorders>
                  <w:shd w:val="clear" w:color="auto" w:fill="auto"/>
                  <w:tcMar>
                    <w:top w:w="15" w:type="dxa"/>
                    <w:left w:w="15" w:type="dxa"/>
                    <w:right w:w="15" w:type="dxa"/>
                  </w:tcMar>
                  <w:vAlign w:val="center"/>
                </w:tcPr>
                <w:p w14:paraId="2FE751C1">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484" w:type="dxa"/>
                  <w:tcBorders>
                    <w:tl2br w:val="nil"/>
                    <w:tr2bl w:val="nil"/>
                  </w:tcBorders>
                  <w:shd w:val="clear" w:color="auto" w:fill="auto"/>
                  <w:tcMar>
                    <w:top w:w="15" w:type="dxa"/>
                    <w:left w:w="15" w:type="dxa"/>
                    <w:right w:w="15" w:type="dxa"/>
                  </w:tcMar>
                  <w:vAlign w:val="center"/>
                </w:tcPr>
                <w:p w14:paraId="3F144F52">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694" w:type="dxa"/>
                  <w:tcBorders>
                    <w:tl2br w:val="nil"/>
                    <w:tr2bl w:val="nil"/>
                  </w:tcBorders>
                  <w:shd w:val="clear" w:color="auto" w:fill="auto"/>
                  <w:tcMar>
                    <w:top w:w="15" w:type="dxa"/>
                    <w:left w:w="15" w:type="dxa"/>
                    <w:right w:w="15" w:type="dxa"/>
                  </w:tcMar>
                  <w:vAlign w:val="center"/>
                </w:tcPr>
                <w:p w14:paraId="13011464">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DW00</w:t>
                  </w:r>
                  <w:r>
                    <w:rPr>
                      <w:rFonts w:hint="eastAsia" w:cs="Times New Roman"/>
                      <w:color w:val="000000" w:themeColor="text1"/>
                      <w:kern w:val="0"/>
                      <w:sz w:val="18"/>
                      <w:szCs w:val="18"/>
                      <w:highlight w:val="none"/>
                      <w:lang w:val="en-US" w:eastAsia="zh-CN" w:bidi="ar"/>
                      <w14:textFill>
                        <w14:solidFill>
                          <w14:schemeClr w14:val="tx1"/>
                        </w14:solidFill>
                      </w14:textFill>
                    </w:rPr>
                    <w:t>3</w:t>
                  </w:r>
                </w:p>
              </w:tc>
              <w:tc>
                <w:tcPr>
                  <w:tcW w:w="726" w:type="dxa"/>
                  <w:tcBorders>
                    <w:tl2br w:val="nil"/>
                    <w:tr2bl w:val="nil"/>
                  </w:tcBorders>
                  <w:shd w:val="clear" w:color="auto" w:fill="auto"/>
                  <w:tcMar>
                    <w:top w:w="15" w:type="dxa"/>
                    <w:left w:w="15" w:type="dxa"/>
                    <w:right w:w="15" w:type="dxa"/>
                  </w:tcMar>
                  <w:vAlign w:val="center"/>
                </w:tcPr>
                <w:p w14:paraId="1FBDA148">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sym w:font="Wingdings 2" w:char="F052"/>
                  </w: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是□否</w:t>
                  </w:r>
                </w:p>
              </w:tc>
              <w:tc>
                <w:tcPr>
                  <w:tcW w:w="1268" w:type="dxa"/>
                  <w:tcBorders>
                    <w:tl2br w:val="nil"/>
                    <w:tr2bl w:val="nil"/>
                  </w:tcBorders>
                  <w:shd w:val="clear" w:color="auto" w:fill="auto"/>
                  <w:tcMar>
                    <w:top w:w="15" w:type="dxa"/>
                    <w:left w:w="15" w:type="dxa"/>
                    <w:right w:w="15" w:type="dxa"/>
                  </w:tcMar>
                  <w:vAlign w:val="center"/>
                </w:tcPr>
                <w:p w14:paraId="3639ED07">
                  <w:pPr>
                    <w:widowControl/>
                    <w:jc w:val="center"/>
                    <w:textAlignment w:val="bottom"/>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sym w:font="Wingdings 2" w:char="0052"/>
                  </w: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生活污水排放口</w:t>
                  </w:r>
                </w:p>
              </w:tc>
            </w:tr>
          </w:tbl>
          <w:p w14:paraId="066A1F8D">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6F195021">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56AA6002">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79769857">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360D71FD">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7717DDF3">
            <w:pPr>
              <w:pStyle w:val="67"/>
              <w:numPr>
                <w:ilvl w:val="0"/>
                <w:numId w:val="0"/>
              </w:numPr>
              <w:adjustRightInd w:val="0"/>
              <w:snapToGrid w:val="0"/>
              <w:jc w:val="both"/>
              <w:rPr>
                <w:rFonts w:hint="default" w:ascii="Times New Roman" w:hAnsi="Times New Roman" w:eastAsia="宋体" w:cs="Times New Roman"/>
                <w:b/>
                <w:color w:val="000000" w:themeColor="text1"/>
                <w:szCs w:val="21"/>
                <w:highlight w:val="none"/>
                <w14:textFill>
                  <w14:solidFill>
                    <w14:schemeClr w14:val="tx1"/>
                  </w14:solidFill>
                </w14:textFill>
              </w:rPr>
            </w:pPr>
          </w:p>
          <w:p w14:paraId="738B89D5">
            <w:pPr>
              <w:pStyle w:val="67"/>
              <w:numPr>
                <w:ilvl w:val="0"/>
                <w:numId w:val="0"/>
              </w:numPr>
              <w:adjustRightInd w:val="0"/>
              <w:snapToGrid w:val="0"/>
              <w:ind w:left="288" w:leftChars="0"/>
              <w:jc w:val="center"/>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eastAsia" w:cs="Times New Roman"/>
                <w:b w:val="0"/>
                <w:bCs/>
                <w:color w:val="000000" w:themeColor="text1"/>
                <w:szCs w:val="21"/>
                <w:highlight w:val="none"/>
                <w:lang w:val="en-US" w:eastAsia="zh-CN"/>
                <w14:textFill>
                  <w14:solidFill>
                    <w14:schemeClr w14:val="tx1"/>
                  </w14:solidFill>
                </w14:textFill>
              </w:rPr>
              <w:t>表4-8   本项目建成后全厂</w:t>
            </w:r>
            <w:r>
              <w:rPr>
                <w:rFonts w:hint="default" w:ascii="Times New Roman" w:hAnsi="Times New Roman" w:eastAsia="宋体" w:cs="Times New Roman"/>
                <w:b w:val="0"/>
                <w:bCs/>
                <w:color w:val="000000" w:themeColor="text1"/>
                <w:szCs w:val="21"/>
                <w:highlight w:val="none"/>
                <w14:textFill>
                  <w14:solidFill>
                    <w14:schemeClr w14:val="tx1"/>
                  </w14:solidFill>
                </w14:textFill>
              </w:rPr>
              <w:t>废水间接排放口基本情况表</w:t>
            </w:r>
          </w:p>
          <w:tbl>
            <w:tblPr>
              <w:tblStyle w:val="36"/>
              <w:tblW w:w="8076" w:type="dxa"/>
              <w:jc w:val="center"/>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Layout w:type="fixed"/>
              <w:tblCellMar>
                <w:top w:w="0" w:type="dxa"/>
                <w:left w:w="108" w:type="dxa"/>
                <w:bottom w:w="0" w:type="dxa"/>
                <w:right w:w="108" w:type="dxa"/>
              </w:tblCellMar>
            </w:tblPr>
            <w:tblGrid>
              <w:gridCol w:w="412"/>
              <w:gridCol w:w="721"/>
              <w:gridCol w:w="838"/>
              <w:gridCol w:w="875"/>
              <w:gridCol w:w="662"/>
              <w:gridCol w:w="675"/>
              <w:gridCol w:w="900"/>
              <w:gridCol w:w="650"/>
              <w:gridCol w:w="730"/>
              <w:gridCol w:w="637"/>
              <w:gridCol w:w="976"/>
            </w:tblGrid>
            <w:tr w14:paraId="65BD1C66">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restart"/>
                  <w:vAlign w:val="center"/>
                </w:tcPr>
                <w:p w14:paraId="5B9E0631">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序号</w:t>
                  </w:r>
                </w:p>
              </w:tc>
              <w:tc>
                <w:tcPr>
                  <w:tcW w:w="721" w:type="dxa"/>
                  <w:vMerge w:val="restart"/>
                  <w:vAlign w:val="center"/>
                </w:tcPr>
                <w:p w14:paraId="70DD04D8">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排放口编号</w:t>
                  </w:r>
                </w:p>
              </w:tc>
              <w:tc>
                <w:tcPr>
                  <w:tcW w:w="1713" w:type="dxa"/>
                  <w:gridSpan w:val="2"/>
                  <w:vAlign w:val="center"/>
                </w:tcPr>
                <w:p w14:paraId="4390F3D8">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排放口地理坐标</w:t>
                  </w:r>
                </w:p>
              </w:tc>
              <w:tc>
                <w:tcPr>
                  <w:tcW w:w="662" w:type="dxa"/>
                  <w:vMerge w:val="restart"/>
                  <w:vAlign w:val="center"/>
                </w:tcPr>
                <w:p w14:paraId="2F4E3D5A">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废水排放量万t/a</w:t>
                  </w:r>
                </w:p>
              </w:tc>
              <w:tc>
                <w:tcPr>
                  <w:tcW w:w="675" w:type="dxa"/>
                  <w:vMerge w:val="restart"/>
                  <w:vAlign w:val="center"/>
                </w:tcPr>
                <w:p w14:paraId="7481D0D4">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排放去向</w:t>
                  </w:r>
                </w:p>
              </w:tc>
              <w:tc>
                <w:tcPr>
                  <w:tcW w:w="900" w:type="dxa"/>
                  <w:vMerge w:val="restart"/>
                  <w:vAlign w:val="center"/>
                </w:tcPr>
                <w:p w14:paraId="5084B31D">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排放规律</w:t>
                  </w:r>
                </w:p>
              </w:tc>
              <w:tc>
                <w:tcPr>
                  <w:tcW w:w="650" w:type="dxa"/>
                  <w:vMerge w:val="restart"/>
                  <w:vAlign w:val="center"/>
                </w:tcPr>
                <w:p w14:paraId="0038B173">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间歇排放时段</w:t>
                  </w:r>
                </w:p>
              </w:tc>
              <w:tc>
                <w:tcPr>
                  <w:tcW w:w="2343" w:type="dxa"/>
                  <w:gridSpan w:val="3"/>
                  <w:vAlign w:val="center"/>
                </w:tcPr>
                <w:p w14:paraId="2918E577">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受纳污水处理厂信息</w:t>
                  </w:r>
                </w:p>
              </w:tc>
            </w:tr>
            <w:tr w14:paraId="661D732A">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6069B37B">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721" w:type="dxa"/>
                  <w:vMerge w:val="continue"/>
                  <w:vAlign w:val="center"/>
                </w:tcPr>
                <w:p w14:paraId="72E1F476">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38" w:type="dxa"/>
                  <w:vAlign w:val="center"/>
                </w:tcPr>
                <w:p w14:paraId="34924614">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经度</w:t>
                  </w:r>
                </w:p>
              </w:tc>
              <w:tc>
                <w:tcPr>
                  <w:tcW w:w="875" w:type="dxa"/>
                  <w:vAlign w:val="center"/>
                </w:tcPr>
                <w:p w14:paraId="015D6039">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纬度</w:t>
                  </w:r>
                </w:p>
              </w:tc>
              <w:tc>
                <w:tcPr>
                  <w:tcW w:w="662" w:type="dxa"/>
                  <w:vMerge w:val="continue"/>
                  <w:vAlign w:val="center"/>
                </w:tcPr>
                <w:p w14:paraId="756DFBD5">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75" w:type="dxa"/>
                  <w:vMerge w:val="continue"/>
                  <w:vAlign w:val="center"/>
                </w:tcPr>
                <w:p w14:paraId="68C11A32">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900" w:type="dxa"/>
                  <w:vMerge w:val="continue"/>
                  <w:vAlign w:val="center"/>
                </w:tcPr>
                <w:p w14:paraId="0B56E0FB">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50" w:type="dxa"/>
                  <w:vMerge w:val="continue"/>
                  <w:vAlign w:val="center"/>
                </w:tcPr>
                <w:p w14:paraId="3F57D706">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730" w:type="dxa"/>
                  <w:vAlign w:val="center"/>
                </w:tcPr>
                <w:p w14:paraId="4F2028E1">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名称</w:t>
                  </w:r>
                </w:p>
              </w:tc>
              <w:tc>
                <w:tcPr>
                  <w:tcW w:w="637" w:type="dxa"/>
                  <w:vAlign w:val="center"/>
                </w:tcPr>
                <w:p w14:paraId="2934F8F4">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污染物种类</w:t>
                  </w:r>
                </w:p>
              </w:tc>
              <w:tc>
                <w:tcPr>
                  <w:tcW w:w="976" w:type="dxa"/>
                  <w:vAlign w:val="center"/>
                </w:tcPr>
                <w:p w14:paraId="705D3CE9">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排放标准浓度限值mg/L</w:t>
                  </w:r>
                </w:p>
              </w:tc>
            </w:tr>
            <w:tr w14:paraId="33542624">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760" w:hRule="atLeast"/>
                <w:jc w:val="center"/>
              </w:trPr>
              <w:tc>
                <w:tcPr>
                  <w:tcW w:w="412" w:type="dxa"/>
                  <w:vMerge w:val="restart"/>
                  <w:vAlign w:val="center"/>
                </w:tcPr>
                <w:p w14:paraId="38672B6C">
                  <w:pPr>
                    <w:snapToGrid w:val="0"/>
                    <w:jc w:val="center"/>
                    <w:rPr>
                      <w:rFonts w:hint="eastAsia" w:ascii="Times New Roman" w:hAnsi="Times New Roman" w:eastAsia="宋体" w:cs="Times New Roman"/>
                      <w:b/>
                      <w:bCs/>
                      <w:color w:val="000000" w:themeColor="text1"/>
                      <w:sz w:val="18"/>
                      <w:szCs w:val="18"/>
                      <w:highlight w:val="none"/>
                      <w:lang w:val="en-US" w:eastAsia="zh-CN"/>
                      <w14:textFill>
                        <w14:solidFill>
                          <w14:schemeClr w14:val="tx1"/>
                        </w14:solidFill>
                      </w14:textFill>
                    </w:rPr>
                  </w:pPr>
                  <w:r>
                    <w:rPr>
                      <w:rFonts w:hint="eastAsia" w:cs="Times New Roman"/>
                      <w:b/>
                      <w:bCs/>
                      <w:color w:val="000000" w:themeColor="text1"/>
                      <w:sz w:val="18"/>
                      <w:szCs w:val="18"/>
                      <w:highlight w:val="none"/>
                      <w:lang w:val="en-US" w:eastAsia="zh-CN"/>
                      <w14:textFill>
                        <w14:solidFill>
                          <w14:schemeClr w14:val="tx1"/>
                        </w14:solidFill>
                      </w14:textFill>
                    </w:rPr>
                    <w:t>1</w:t>
                  </w:r>
                </w:p>
              </w:tc>
              <w:tc>
                <w:tcPr>
                  <w:tcW w:w="721" w:type="dxa"/>
                  <w:vMerge w:val="restart"/>
                  <w:vAlign w:val="center"/>
                </w:tcPr>
                <w:p w14:paraId="3C3CF665">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DW00</w:t>
                  </w: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2</w:t>
                  </w:r>
                </w:p>
              </w:tc>
              <w:tc>
                <w:tcPr>
                  <w:tcW w:w="838" w:type="dxa"/>
                  <w:vMerge w:val="restart"/>
                  <w:vAlign w:val="center"/>
                </w:tcPr>
                <w:p w14:paraId="27A021E3">
                  <w:pPr>
                    <w:widowControl/>
                    <w:snapToGrid w:val="0"/>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120°37’44.76"</w:t>
                  </w:r>
                </w:p>
              </w:tc>
              <w:tc>
                <w:tcPr>
                  <w:tcW w:w="875" w:type="dxa"/>
                  <w:vMerge w:val="restart"/>
                  <w:vAlign w:val="center"/>
                </w:tcPr>
                <w:p w14:paraId="62E4AD07">
                  <w:pPr>
                    <w:widowControl/>
                    <w:snapToGrid w:val="0"/>
                    <w:jc w:val="center"/>
                    <w:textAlignment w:val="bottom"/>
                    <w:rPr>
                      <w:rFonts w:hint="default" w:ascii="Times New Roman" w:hAnsi="Times New Roman" w:eastAsia="宋体" w:cs="Times New Roman"/>
                      <w:b w:val="0"/>
                      <w:bCs w:val="0"/>
                      <w:color w:val="000000" w:themeColor="text1"/>
                      <w:sz w:val="18"/>
                      <w:szCs w:val="18"/>
                      <w:highlight w:val="none"/>
                      <w14:textFill>
                        <w14:solidFill>
                          <w14:schemeClr w14:val="tx1"/>
                        </w14:solidFill>
                      </w14:textFill>
                    </w:rPr>
                  </w:pPr>
                  <w:r>
                    <w:rPr>
                      <w:rFonts w:hint="default" w:ascii="Times New Roman" w:hAnsi="Times New Roman" w:eastAsia="宋体" w:cs="Times New Roman"/>
                      <w:b w:val="0"/>
                      <w:bCs w:val="0"/>
                      <w:color w:val="000000" w:themeColor="text1"/>
                      <w:kern w:val="0"/>
                      <w:sz w:val="18"/>
                      <w:szCs w:val="18"/>
                      <w:highlight w:val="none"/>
                      <w:lang w:bidi="ar"/>
                      <w14:textFill>
                        <w14:solidFill>
                          <w14:schemeClr w14:val="tx1"/>
                        </w14:solidFill>
                      </w14:textFill>
                    </w:rPr>
                    <w:t>30°58’31.76"</w:t>
                  </w:r>
                </w:p>
              </w:tc>
              <w:tc>
                <w:tcPr>
                  <w:tcW w:w="662" w:type="dxa"/>
                  <w:vMerge w:val="restart"/>
                  <w:vAlign w:val="center"/>
                </w:tcPr>
                <w:p w14:paraId="716FF1EB">
                  <w:pPr>
                    <w:snapToGrid w:val="0"/>
                    <w:jc w:val="center"/>
                    <w:rPr>
                      <w:rFonts w:hint="default" w:ascii="Times New Roman" w:hAnsi="Times New Roman" w:eastAsia="宋体" w:cs="Times New Roman"/>
                      <w:b w:val="0"/>
                      <w:bCs w:val="0"/>
                      <w:color w:val="000000" w:themeColor="text1"/>
                      <w:sz w:val="18"/>
                      <w:szCs w:val="18"/>
                      <w:highlight w:val="none"/>
                      <w:lang w:val="en-US" w:eastAsia="zh-CN"/>
                      <w14:textFill>
                        <w14:solidFill>
                          <w14:schemeClr w14:val="tx1"/>
                        </w14:solidFill>
                      </w14:textFill>
                    </w:rPr>
                  </w:pPr>
                  <w:r>
                    <w:rPr>
                      <w:rFonts w:hint="eastAsia" w:cs="Times New Roman"/>
                      <w:b w:val="0"/>
                      <w:bCs w:val="0"/>
                      <w:color w:val="000000" w:themeColor="text1"/>
                      <w:sz w:val="18"/>
                      <w:szCs w:val="18"/>
                      <w:highlight w:val="none"/>
                      <w:lang w:val="en-US" w:eastAsia="zh-CN"/>
                      <w14:textFill>
                        <w14:solidFill>
                          <w14:schemeClr w14:val="tx1"/>
                        </w14:solidFill>
                      </w14:textFill>
                    </w:rPr>
                    <w:t>37</w:t>
                  </w:r>
                </w:p>
              </w:tc>
              <w:tc>
                <w:tcPr>
                  <w:tcW w:w="675" w:type="dxa"/>
                  <w:vMerge w:val="restart"/>
                  <w:vAlign w:val="center"/>
                </w:tcPr>
                <w:p w14:paraId="7846236E">
                  <w:pPr>
                    <w:widowControl/>
                    <w:snapToGrid w:val="0"/>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进入城市污水处理厂</w:t>
                  </w:r>
                </w:p>
              </w:tc>
              <w:tc>
                <w:tcPr>
                  <w:tcW w:w="900" w:type="dxa"/>
                  <w:vMerge w:val="restart"/>
                  <w:vAlign w:val="center"/>
                </w:tcPr>
                <w:p w14:paraId="4B9B4476">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连续排放，流量不稳定且无规律，但不属于冲击型排放</w:t>
                  </w:r>
                </w:p>
              </w:tc>
              <w:tc>
                <w:tcPr>
                  <w:tcW w:w="650" w:type="dxa"/>
                  <w:vMerge w:val="restart"/>
                  <w:vAlign w:val="center"/>
                </w:tcPr>
                <w:p w14:paraId="493A573E">
                  <w:pPr>
                    <w:snapToGrid w:val="0"/>
                    <w:jc w:val="cente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w:t>
                  </w:r>
                </w:p>
              </w:tc>
              <w:tc>
                <w:tcPr>
                  <w:tcW w:w="730" w:type="dxa"/>
                  <w:vMerge w:val="restart"/>
                  <w:vAlign w:val="center"/>
                </w:tcPr>
                <w:p w14:paraId="6A6A06FC">
                  <w:pPr>
                    <w:widowControl/>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平望镇污水处理厂</w:t>
                  </w:r>
                </w:p>
              </w:tc>
              <w:tc>
                <w:tcPr>
                  <w:tcW w:w="637" w:type="dxa"/>
                  <w:vAlign w:val="center"/>
                </w:tcPr>
                <w:p w14:paraId="7B6AD76F">
                  <w:pPr>
                    <w:widowControl/>
                    <w:snapToGrid w:val="0"/>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976" w:type="dxa"/>
                  <w:vAlign w:val="center"/>
                </w:tcPr>
                <w:p w14:paraId="6637B7B4">
                  <w:pPr>
                    <w:snapToGrid w:val="0"/>
                    <w:jc w:val="cente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60</w:t>
                  </w:r>
                </w:p>
              </w:tc>
            </w:tr>
            <w:tr w14:paraId="1DD495A2">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38BFB125">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721" w:type="dxa"/>
                  <w:vMerge w:val="continue"/>
                  <w:vAlign w:val="center"/>
                </w:tcPr>
                <w:p w14:paraId="42CFF9E3">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38" w:type="dxa"/>
                  <w:vMerge w:val="continue"/>
                  <w:vAlign w:val="center"/>
                </w:tcPr>
                <w:p w14:paraId="4D4DC406">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875" w:type="dxa"/>
                  <w:vMerge w:val="continue"/>
                  <w:vAlign w:val="center"/>
                </w:tcPr>
                <w:p w14:paraId="6E728AA7">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62" w:type="dxa"/>
                  <w:vMerge w:val="continue"/>
                  <w:vAlign w:val="center"/>
                </w:tcPr>
                <w:p w14:paraId="268C8C41">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75" w:type="dxa"/>
                  <w:vMerge w:val="continue"/>
                  <w:vAlign w:val="center"/>
                </w:tcPr>
                <w:p w14:paraId="19723E0C">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900" w:type="dxa"/>
                  <w:vMerge w:val="continue"/>
                  <w:vAlign w:val="center"/>
                </w:tcPr>
                <w:p w14:paraId="4B5D9AF1">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50" w:type="dxa"/>
                  <w:vMerge w:val="continue"/>
                  <w:vAlign w:val="center"/>
                </w:tcPr>
                <w:p w14:paraId="306AC649">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730" w:type="dxa"/>
                  <w:vMerge w:val="continue"/>
                  <w:vAlign w:val="center"/>
                </w:tcPr>
                <w:p w14:paraId="3C0FA86F">
                  <w:pPr>
                    <w:snapToGrid w:val="0"/>
                    <w:jc w:val="center"/>
                    <w:rPr>
                      <w:rFonts w:hint="default" w:ascii="Times New Roman" w:hAnsi="Times New Roman" w:eastAsia="宋体" w:cs="Times New Roman"/>
                      <w:b/>
                      <w:bCs/>
                      <w:color w:val="000000" w:themeColor="text1"/>
                      <w:sz w:val="18"/>
                      <w:szCs w:val="18"/>
                      <w:highlight w:val="none"/>
                      <w14:textFill>
                        <w14:solidFill>
                          <w14:schemeClr w14:val="tx1"/>
                        </w14:solidFill>
                      </w14:textFill>
                    </w:rPr>
                  </w:pPr>
                </w:p>
              </w:tc>
              <w:tc>
                <w:tcPr>
                  <w:tcW w:w="637" w:type="dxa"/>
                  <w:vAlign w:val="center"/>
                </w:tcPr>
                <w:p w14:paraId="24B908B4">
                  <w:pPr>
                    <w:widowControl/>
                    <w:snapToGrid w:val="0"/>
                    <w:jc w:val="center"/>
                    <w:textAlignment w:val="bottom"/>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976" w:type="dxa"/>
                  <w:vAlign w:val="center"/>
                </w:tcPr>
                <w:p w14:paraId="0B345819">
                  <w:pPr>
                    <w:snapToGrid w:val="0"/>
                    <w:jc w:val="cente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lang w:val="en-US" w:eastAsia="zh-CN"/>
                      <w14:textFill>
                        <w14:solidFill>
                          <w14:schemeClr w14:val="tx1"/>
                        </w14:solidFill>
                      </w14:textFill>
                    </w:rPr>
                    <w:t>50</w:t>
                  </w:r>
                </w:p>
              </w:tc>
            </w:tr>
            <w:tr w14:paraId="2A1CA6C0">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restart"/>
                  <w:vAlign w:val="center"/>
                </w:tcPr>
                <w:p w14:paraId="39DF12DC">
                  <w:pPr>
                    <w:snapToGrid w:val="0"/>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w:t>
                  </w:r>
                </w:p>
              </w:tc>
              <w:tc>
                <w:tcPr>
                  <w:tcW w:w="721" w:type="dxa"/>
                  <w:vMerge w:val="restart"/>
                  <w:vAlign w:val="center"/>
                </w:tcPr>
                <w:p w14:paraId="614C1B15">
                  <w:pPr>
                    <w:widowControl/>
                    <w:snapToGrid w:val="0"/>
                    <w:jc w:val="center"/>
                    <w:textAlignment w:val="bottom"/>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DW00</w:t>
                  </w:r>
                  <w:r>
                    <w:rPr>
                      <w:rFonts w:hint="eastAsia" w:cs="Times New Roman"/>
                      <w:color w:val="000000" w:themeColor="text1"/>
                      <w:kern w:val="0"/>
                      <w:sz w:val="18"/>
                      <w:szCs w:val="18"/>
                      <w:highlight w:val="none"/>
                      <w:lang w:val="en-US" w:eastAsia="zh-CN" w:bidi="ar"/>
                      <w14:textFill>
                        <w14:solidFill>
                          <w14:schemeClr w14:val="tx1"/>
                        </w14:solidFill>
                      </w14:textFill>
                    </w:rPr>
                    <w:t>3</w:t>
                  </w:r>
                </w:p>
              </w:tc>
              <w:tc>
                <w:tcPr>
                  <w:tcW w:w="838" w:type="dxa"/>
                  <w:vMerge w:val="restart"/>
                  <w:shd w:val="clear" w:color="auto" w:fill="auto"/>
                  <w:vAlign w:val="center"/>
                </w:tcPr>
                <w:p w14:paraId="62E2B33A">
                  <w:pPr>
                    <w:widowControl/>
                    <w:snapToGrid w:val="0"/>
                    <w:jc w:val="center"/>
                    <w:textAlignment w:val="bottom"/>
                    <w:rPr>
                      <w:rFonts w:hint="default" w:ascii="Times New Roman" w:hAnsi="Times New Roman" w:eastAsia="宋体" w:cs="Times New Roman"/>
                      <w:b/>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120°52′46.470″</w:t>
                  </w:r>
                </w:p>
              </w:tc>
              <w:tc>
                <w:tcPr>
                  <w:tcW w:w="875" w:type="dxa"/>
                  <w:vMerge w:val="restart"/>
                  <w:shd w:val="clear" w:color="auto" w:fill="auto"/>
                  <w:vAlign w:val="center"/>
                </w:tcPr>
                <w:p w14:paraId="12C2AC59">
                  <w:pPr>
                    <w:widowControl/>
                    <w:snapToGrid w:val="0"/>
                    <w:jc w:val="center"/>
                    <w:textAlignment w:val="bottom"/>
                    <w:rPr>
                      <w:rFonts w:hint="default" w:ascii="Times New Roman" w:hAnsi="Times New Roman" w:eastAsia="宋体" w:cs="Times New Roman"/>
                      <w:b/>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31</w:t>
                  </w: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19</w:t>
                  </w:r>
                  <w:r>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33.426″</w:t>
                  </w:r>
                </w:p>
              </w:tc>
              <w:tc>
                <w:tcPr>
                  <w:tcW w:w="662" w:type="dxa"/>
                  <w:vMerge w:val="restart"/>
                  <w:vAlign w:val="center"/>
                </w:tcPr>
                <w:p w14:paraId="0F316114">
                  <w:pPr>
                    <w:widowControl/>
                    <w:snapToGrid w:val="0"/>
                    <w:jc w:val="center"/>
                    <w:textAlignment w:val="bottom"/>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bidi="ar"/>
                      <w14:textFill>
                        <w14:solidFill>
                          <w14:schemeClr w14:val="tx1"/>
                        </w14:solidFill>
                      </w14:textFill>
                    </w:rPr>
                    <w:t>0.</w:t>
                  </w:r>
                  <w:r>
                    <w:rPr>
                      <w:rFonts w:hint="eastAsia" w:cs="Times New Roman"/>
                      <w:color w:val="000000" w:themeColor="text1"/>
                      <w:kern w:val="0"/>
                      <w:sz w:val="18"/>
                      <w:szCs w:val="18"/>
                      <w:highlight w:val="none"/>
                      <w:lang w:val="en-US" w:eastAsia="zh-CN" w:bidi="ar"/>
                      <w14:textFill>
                        <w14:solidFill>
                          <w14:schemeClr w14:val="tx1"/>
                        </w14:solidFill>
                      </w14:textFill>
                    </w:rPr>
                    <w:t>4672</w:t>
                  </w:r>
                </w:p>
              </w:tc>
              <w:tc>
                <w:tcPr>
                  <w:tcW w:w="675" w:type="dxa"/>
                  <w:vMerge w:val="continue"/>
                  <w:vAlign w:val="center"/>
                </w:tcPr>
                <w:p w14:paraId="70BF39C0">
                  <w:pPr>
                    <w:widowControl/>
                    <w:snapToGrid w:val="0"/>
                    <w:jc w:val="center"/>
                    <w:textAlignment w:val="bottom"/>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00" w:type="dxa"/>
                  <w:vMerge w:val="continue"/>
                  <w:vAlign w:val="center"/>
                </w:tcPr>
                <w:p w14:paraId="7BE6B42A">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50" w:type="dxa"/>
                  <w:vMerge w:val="restart"/>
                  <w:vAlign w:val="center"/>
                </w:tcPr>
                <w:p w14:paraId="4A2285B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730" w:type="dxa"/>
                  <w:vMerge w:val="restart"/>
                  <w:vAlign w:val="center"/>
                </w:tcPr>
                <w:p w14:paraId="5F8181EF">
                  <w:pPr>
                    <w:widowControl/>
                    <w:jc w:val="center"/>
                    <w:textAlignment w:val="bottom"/>
                    <w:rPr>
                      <w:rFonts w:hint="default" w:ascii="Times New Roman" w:hAnsi="Times New Roman" w:eastAsia="宋体" w:cs="Times New Roman"/>
                      <w:color w:val="000000" w:themeColor="text1"/>
                      <w:sz w:val="18"/>
                      <w:szCs w:val="18"/>
                      <w:highlight w:val="none"/>
                      <w:lang w:val="en-US"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平望生活污水处理有限公司</w:t>
                  </w:r>
                </w:p>
              </w:tc>
              <w:tc>
                <w:tcPr>
                  <w:tcW w:w="637" w:type="dxa"/>
                  <w:shd w:val="clear" w:color="auto" w:fill="auto"/>
                  <w:vAlign w:val="center"/>
                </w:tcPr>
                <w:p w14:paraId="6D64C457">
                  <w:pPr>
                    <w:widowControl/>
                    <w:snapToGrid w:val="0"/>
                    <w:jc w:val="center"/>
                    <w:textAlignment w:val="bottom"/>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976" w:type="dxa"/>
                  <w:shd w:val="clear" w:color="auto" w:fill="auto"/>
                  <w:vAlign w:val="center"/>
                </w:tcPr>
                <w:p w14:paraId="2611FBE7">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30</w:t>
                  </w:r>
                </w:p>
              </w:tc>
            </w:tr>
            <w:tr w14:paraId="25E340AB">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62DE86F4">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21" w:type="dxa"/>
                  <w:vMerge w:val="continue"/>
                  <w:vAlign w:val="center"/>
                </w:tcPr>
                <w:p w14:paraId="1789D9E4">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38" w:type="dxa"/>
                  <w:vMerge w:val="continue"/>
                  <w:vAlign w:val="center"/>
                </w:tcPr>
                <w:p w14:paraId="5529BA7F">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5" w:type="dxa"/>
                  <w:vMerge w:val="continue"/>
                  <w:vAlign w:val="center"/>
                </w:tcPr>
                <w:p w14:paraId="2F6242F5">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62" w:type="dxa"/>
                  <w:vMerge w:val="continue"/>
                  <w:vAlign w:val="center"/>
                </w:tcPr>
                <w:p w14:paraId="0D6FE950">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75" w:type="dxa"/>
                  <w:vMerge w:val="continue"/>
                  <w:vAlign w:val="center"/>
                </w:tcPr>
                <w:p w14:paraId="4A49537A">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00" w:type="dxa"/>
                  <w:vMerge w:val="continue"/>
                  <w:vAlign w:val="center"/>
                </w:tcPr>
                <w:p w14:paraId="70772664">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50" w:type="dxa"/>
                  <w:vMerge w:val="continue"/>
                  <w:vAlign w:val="center"/>
                </w:tcPr>
                <w:p w14:paraId="23D39D83">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0" w:type="dxa"/>
                  <w:vMerge w:val="continue"/>
                  <w:vAlign w:val="center"/>
                </w:tcPr>
                <w:p w14:paraId="74AAE7F4">
                  <w:pPr>
                    <w:pStyle w:val="219"/>
                    <w:snapToGrid w:val="0"/>
                    <w:jc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p>
              </w:tc>
              <w:tc>
                <w:tcPr>
                  <w:tcW w:w="637" w:type="dxa"/>
                  <w:shd w:val="clear" w:color="auto" w:fill="auto"/>
                  <w:vAlign w:val="center"/>
                </w:tcPr>
                <w:p w14:paraId="0DF8CF6F">
                  <w:pPr>
                    <w:widowControl/>
                    <w:snapToGrid w:val="0"/>
                    <w:jc w:val="center"/>
                    <w:textAlignment w:val="bottom"/>
                    <w:rPr>
                      <w:rFonts w:hint="default" w:ascii="Times New Roman" w:hAnsi="Times New Roman" w:eastAsia="宋体" w:cs="Times New Roman"/>
                      <w:color w:val="000000" w:themeColor="text1"/>
                      <w:kern w:val="0"/>
                      <w:sz w:val="18"/>
                      <w:szCs w:val="18"/>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976" w:type="dxa"/>
                  <w:shd w:val="clear" w:color="auto" w:fill="auto"/>
                  <w:vAlign w:val="center"/>
                </w:tcPr>
                <w:p w14:paraId="041840A8">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10</w:t>
                  </w:r>
                </w:p>
              </w:tc>
            </w:tr>
            <w:tr w14:paraId="4B31E2E3">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0C99D4C2">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21" w:type="dxa"/>
                  <w:vMerge w:val="continue"/>
                  <w:vAlign w:val="center"/>
                </w:tcPr>
                <w:p w14:paraId="365D524F">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38" w:type="dxa"/>
                  <w:vMerge w:val="continue"/>
                  <w:vAlign w:val="center"/>
                </w:tcPr>
                <w:p w14:paraId="7CBD65B8">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5" w:type="dxa"/>
                  <w:vMerge w:val="continue"/>
                  <w:vAlign w:val="center"/>
                </w:tcPr>
                <w:p w14:paraId="44145AB3">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62" w:type="dxa"/>
                  <w:vMerge w:val="continue"/>
                  <w:vAlign w:val="center"/>
                </w:tcPr>
                <w:p w14:paraId="0C85C360">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75" w:type="dxa"/>
                  <w:vMerge w:val="continue"/>
                  <w:vAlign w:val="center"/>
                </w:tcPr>
                <w:p w14:paraId="674C114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00" w:type="dxa"/>
                  <w:vMerge w:val="continue"/>
                  <w:vAlign w:val="center"/>
                </w:tcPr>
                <w:p w14:paraId="504A3804">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50" w:type="dxa"/>
                  <w:vMerge w:val="continue"/>
                  <w:vAlign w:val="center"/>
                </w:tcPr>
                <w:p w14:paraId="5A93B8CC">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0" w:type="dxa"/>
                  <w:vMerge w:val="continue"/>
                  <w:vAlign w:val="center"/>
                </w:tcPr>
                <w:p w14:paraId="153A6F25">
                  <w:pPr>
                    <w:pStyle w:val="219"/>
                    <w:snapToGrid w:val="0"/>
                    <w:jc w:val="center"/>
                    <w:rPr>
                      <w:rFonts w:hint="default" w:ascii="Times New Roman" w:hAnsi="Times New Roman" w:eastAsia="宋体" w:cs="Times New Roman"/>
                      <w:color w:val="000000" w:themeColor="text1"/>
                      <w:sz w:val="18"/>
                      <w:szCs w:val="18"/>
                      <w:highlight w:val="none"/>
                      <w:lang w:val="en-US"/>
                      <w14:textFill>
                        <w14:solidFill>
                          <w14:schemeClr w14:val="tx1"/>
                        </w14:solidFill>
                      </w14:textFill>
                    </w:rPr>
                  </w:pPr>
                </w:p>
              </w:tc>
              <w:tc>
                <w:tcPr>
                  <w:tcW w:w="637" w:type="dxa"/>
                  <w:shd w:val="clear" w:color="auto" w:fill="auto"/>
                  <w:vAlign w:val="center"/>
                </w:tcPr>
                <w:p w14:paraId="0DCB472A">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氨氮</w:t>
                  </w:r>
                </w:p>
              </w:tc>
              <w:tc>
                <w:tcPr>
                  <w:tcW w:w="976" w:type="dxa"/>
                  <w:shd w:val="clear" w:color="auto" w:fill="auto"/>
                  <w:vAlign w:val="center"/>
                </w:tcPr>
                <w:p w14:paraId="6B8AC149">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1.5</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w:t>
                  </w:r>
                </w:p>
              </w:tc>
            </w:tr>
            <w:tr w14:paraId="61B544E0">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5B34567E">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21" w:type="dxa"/>
                  <w:vMerge w:val="continue"/>
                  <w:vAlign w:val="center"/>
                </w:tcPr>
                <w:p w14:paraId="19BA0F37">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38" w:type="dxa"/>
                  <w:vMerge w:val="continue"/>
                  <w:vAlign w:val="center"/>
                </w:tcPr>
                <w:p w14:paraId="6F0ADA65">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5" w:type="dxa"/>
                  <w:vMerge w:val="continue"/>
                  <w:vAlign w:val="center"/>
                </w:tcPr>
                <w:p w14:paraId="62A8432D">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62" w:type="dxa"/>
                  <w:vMerge w:val="continue"/>
                  <w:vAlign w:val="center"/>
                </w:tcPr>
                <w:p w14:paraId="07B710E3">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75" w:type="dxa"/>
                  <w:vMerge w:val="continue"/>
                  <w:vAlign w:val="center"/>
                </w:tcPr>
                <w:p w14:paraId="3EA9F528">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00" w:type="dxa"/>
                  <w:vMerge w:val="continue"/>
                  <w:vAlign w:val="center"/>
                </w:tcPr>
                <w:p w14:paraId="62DD694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50" w:type="dxa"/>
                  <w:vMerge w:val="continue"/>
                  <w:vAlign w:val="center"/>
                </w:tcPr>
                <w:p w14:paraId="4F38CF0E">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0" w:type="dxa"/>
                  <w:vMerge w:val="continue"/>
                  <w:vAlign w:val="center"/>
                </w:tcPr>
                <w:p w14:paraId="1392F824">
                  <w:pPr>
                    <w:pStyle w:val="219"/>
                    <w:snapToGrid w:val="0"/>
                    <w:jc w:val="center"/>
                    <w:rPr>
                      <w:rFonts w:hint="default" w:ascii="Times New Roman" w:hAnsi="Times New Roman" w:eastAsia="宋体" w:cs="Times New Roman"/>
                      <w:color w:val="000000" w:themeColor="text1"/>
                      <w:spacing w:val="-2"/>
                      <w:sz w:val="18"/>
                      <w:szCs w:val="18"/>
                      <w:highlight w:val="none"/>
                      <w:lang w:val="en-US"/>
                      <w14:textFill>
                        <w14:solidFill>
                          <w14:schemeClr w14:val="tx1"/>
                        </w14:solidFill>
                      </w14:textFill>
                    </w:rPr>
                  </w:pPr>
                </w:p>
              </w:tc>
              <w:tc>
                <w:tcPr>
                  <w:tcW w:w="637" w:type="dxa"/>
                  <w:shd w:val="clear" w:color="auto" w:fill="auto"/>
                  <w:vAlign w:val="center"/>
                </w:tcPr>
                <w:p w14:paraId="5795D75E">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TN</w:t>
                  </w:r>
                </w:p>
              </w:tc>
              <w:tc>
                <w:tcPr>
                  <w:tcW w:w="976" w:type="dxa"/>
                  <w:shd w:val="clear" w:color="auto" w:fill="auto"/>
                  <w:vAlign w:val="center"/>
                </w:tcPr>
                <w:p w14:paraId="5AF4C85F">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10</w:t>
                  </w:r>
                </w:p>
              </w:tc>
            </w:tr>
            <w:tr w14:paraId="445F6C66">
              <w:tblPrEx>
                <w:tblBorders>
                  <w:top w:val="single" w:color="000000" w:sz="12" w:space="0"/>
                  <w:left w:val="single" w:color="000000" w:sz="12" w:space="0"/>
                  <w:bottom w:val="single" w:color="000000" w:sz="12" w:space="0"/>
                  <w:right w:val="single" w:color="000000"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12" w:type="dxa"/>
                  <w:vMerge w:val="continue"/>
                  <w:vAlign w:val="center"/>
                </w:tcPr>
                <w:p w14:paraId="32F678AF">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21" w:type="dxa"/>
                  <w:vMerge w:val="continue"/>
                  <w:vAlign w:val="center"/>
                </w:tcPr>
                <w:p w14:paraId="32E2372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38" w:type="dxa"/>
                  <w:vMerge w:val="continue"/>
                  <w:vAlign w:val="center"/>
                </w:tcPr>
                <w:p w14:paraId="32878B97">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75" w:type="dxa"/>
                  <w:vMerge w:val="continue"/>
                  <w:vAlign w:val="center"/>
                </w:tcPr>
                <w:p w14:paraId="7A4C18E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62" w:type="dxa"/>
                  <w:vMerge w:val="continue"/>
                  <w:vAlign w:val="center"/>
                </w:tcPr>
                <w:p w14:paraId="4A1772AA">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75" w:type="dxa"/>
                  <w:vMerge w:val="continue"/>
                  <w:vAlign w:val="center"/>
                </w:tcPr>
                <w:p w14:paraId="39513592">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900" w:type="dxa"/>
                  <w:vMerge w:val="continue"/>
                  <w:vAlign w:val="center"/>
                </w:tcPr>
                <w:p w14:paraId="57F526CB">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650" w:type="dxa"/>
                  <w:vMerge w:val="continue"/>
                  <w:vAlign w:val="center"/>
                </w:tcPr>
                <w:p w14:paraId="5FE69287">
                  <w:pPr>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730" w:type="dxa"/>
                  <w:vMerge w:val="continue"/>
                  <w:vAlign w:val="center"/>
                </w:tcPr>
                <w:p w14:paraId="612359E2">
                  <w:pPr>
                    <w:pStyle w:val="219"/>
                    <w:snapToGrid w:val="0"/>
                    <w:jc w:val="center"/>
                    <w:rPr>
                      <w:rFonts w:hint="default" w:ascii="Times New Roman" w:hAnsi="Times New Roman" w:eastAsia="宋体" w:cs="Times New Roman"/>
                      <w:color w:val="000000" w:themeColor="text1"/>
                      <w:spacing w:val="-2"/>
                      <w:sz w:val="18"/>
                      <w:szCs w:val="18"/>
                      <w:highlight w:val="none"/>
                      <w:lang w:val="en-US"/>
                      <w14:textFill>
                        <w14:solidFill>
                          <w14:schemeClr w14:val="tx1"/>
                        </w14:solidFill>
                      </w14:textFill>
                    </w:rPr>
                  </w:pPr>
                </w:p>
              </w:tc>
              <w:tc>
                <w:tcPr>
                  <w:tcW w:w="637" w:type="dxa"/>
                  <w:shd w:val="clear" w:color="auto" w:fill="auto"/>
                  <w:vAlign w:val="center"/>
                </w:tcPr>
                <w:p w14:paraId="0537A2B2">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TP</w:t>
                  </w:r>
                </w:p>
              </w:tc>
              <w:tc>
                <w:tcPr>
                  <w:tcW w:w="976" w:type="dxa"/>
                  <w:shd w:val="clear" w:color="auto" w:fill="auto"/>
                  <w:vAlign w:val="center"/>
                </w:tcPr>
                <w:p w14:paraId="6681AAC1">
                  <w:pPr>
                    <w:snapToGrid w:val="0"/>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t>0.3</w:t>
                  </w:r>
                </w:p>
              </w:tc>
            </w:tr>
          </w:tbl>
          <w:p w14:paraId="746FE222">
            <w:pPr>
              <w:adjustRightInd w:val="0"/>
              <w:snapToGrid w:val="0"/>
              <w:ind w:firstLine="210" w:firstLineChars="1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每年11月1日至次年3月31日执行括号内排放限值。</w:t>
            </w:r>
          </w:p>
          <w:p w14:paraId="06D45EED">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接管可行性分析：</w:t>
            </w:r>
          </w:p>
          <w:p w14:paraId="649DD613">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本项目生活污水由市政管网输送至平望生活污水处理有限公司处理，生产废水接入平望镇污水处理厂处理。</w:t>
            </w:r>
          </w:p>
          <w:p w14:paraId="23696531">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1）生产废水防治措施可行性 </w:t>
            </w:r>
          </w:p>
          <w:p w14:paraId="225BA1CC">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1、处理工艺 </w:t>
            </w:r>
          </w:p>
          <w:p w14:paraId="5D4D1BF9">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企业酸碱废水</w:t>
            </w:r>
            <w:r>
              <w:rPr>
                <w:rFonts w:hint="eastAsia" w:cs="Times New Roman"/>
                <w:color w:val="000000" w:themeColor="text1"/>
                <w:szCs w:val="21"/>
                <w:highlight w:val="none"/>
                <w:lang w:val="en-US" w:eastAsia="zh-CN"/>
                <w14:textFill>
                  <w14:solidFill>
                    <w14:schemeClr w14:val="tx1"/>
                  </w14:solidFill>
                </w14:textFill>
              </w:rPr>
              <w:t>、反渗透浓水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经厂区污水处理站处理后和冷却塔</w:t>
            </w:r>
            <w:r>
              <w:rPr>
                <w:rFonts w:hint="eastAsia" w:cs="Times New Roman"/>
                <w:color w:val="000000" w:themeColor="text1"/>
                <w:szCs w:val="21"/>
                <w:highlight w:val="none"/>
                <w:lang w:val="en-US" w:eastAsia="zh-CN"/>
                <w14:textFill>
                  <w14:solidFill>
                    <w14:schemeClr w14:val="tx1"/>
                  </w14:solidFill>
                </w14:textFill>
              </w:rPr>
              <w:t>废水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一同由污水管网收集后输送至平望镇污水处理厂</w:t>
            </w:r>
            <w:r>
              <w:rPr>
                <w:rFonts w:hint="eastAsia" w:cs="Times New Roman"/>
                <w:color w:val="000000" w:themeColor="text1"/>
                <w:szCs w:val="21"/>
                <w:highlight w:val="none"/>
                <w:lang w:val="en-US" w:eastAsia="zh-CN"/>
                <w14:textFill>
                  <w14:solidFill>
                    <w14:schemeClr w14:val="tx1"/>
                  </w14:solidFill>
                </w14:textFill>
              </w:rPr>
              <w:t>进行处理。废水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进入调节池，调节水量后进入气浮池。气浮池可去除废水中的 SS 等，同时降低废水中 COD等</w:t>
            </w:r>
            <w:r>
              <w:rPr>
                <w:rFonts w:hint="eastAsia" w:cs="Times New Roman"/>
                <w:color w:val="000000" w:themeColor="text1"/>
                <w:szCs w:val="21"/>
                <w:highlight w:val="none"/>
                <w:lang w:val="en-US" w:eastAsia="zh-CN"/>
                <w14:textFill>
                  <w14:solidFill>
                    <w14:schemeClr w14:val="tx1"/>
                  </w14:solidFill>
                </w14:textFill>
              </w:rPr>
              <w:t>，再进入CAST系统和混凝沉淀池进行进一步处理后达标排放</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p>
          <w:p w14:paraId="3C26E8C4">
            <w:pPr>
              <w:numPr>
                <w:ilvl w:val="0"/>
                <w:numId w:val="0"/>
              </w:numPr>
              <w:tabs>
                <w:tab w:val="left" w:pos="993"/>
                <w:tab w:val="left" w:pos="1276"/>
              </w:tabs>
              <w:spacing w:line="360" w:lineRule="auto"/>
              <w:ind w:left="313" w:leftChars="0"/>
              <w:rPr>
                <w:rFonts w:hint="default" w:ascii="Times New Roman" w:hAnsi="Times New Roman" w:eastAsia="宋体" w:cs="Times New Roman"/>
                <w:color w:val="000000" w:themeColor="text1"/>
                <w:szCs w:val="21"/>
                <w:highlight w:val="none"/>
                <w14:textFill>
                  <w14:solidFill>
                    <w14:schemeClr w14:val="tx1"/>
                  </w14:solidFill>
                </w14:textFill>
              </w:rPr>
            </w:pP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1024255</wp:posOffset>
                      </wp:positionH>
                      <wp:positionV relativeFrom="paragraph">
                        <wp:posOffset>1043305</wp:posOffset>
                      </wp:positionV>
                      <wp:extent cx="0" cy="415925"/>
                      <wp:effectExtent l="38100" t="0" r="38100" b="3175"/>
                      <wp:wrapNone/>
                      <wp:docPr id="48" name="直接箭头连接符 48"/>
                      <wp:cNvGraphicFramePr/>
                      <a:graphic xmlns:a="http://schemas.openxmlformats.org/drawingml/2006/main">
                        <a:graphicData uri="http://schemas.microsoft.com/office/word/2010/wordprocessingShape">
                          <wps:wsp>
                            <wps:cNvCnPr/>
                            <wps:spPr>
                              <a:xfrm>
                                <a:off x="2174240" y="6419850"/>
                                <a:ext cx="0" cy="415925"/>
                              </a:xfrm>
                              <a:prstGeom prst="straightConnector1">
                                <a:avLst/>
                              </a:prstGeom>
                              <a:ln w="19050">
                                <a:solidFill>
                                  <a:schemeClr val="accent5">
                                    <a:lumMod val="60000"/>
                                    <a:lumOff val="40000"/>
                                  </a:schemeClr>
                                </a:solidFill>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80.65pt;margin-top:82.15pt;height:32.75pt;width:0pt;z-index:251664384;mso-width-relative:page;mso-height-relative:page;" filled="f" stroked="t" coordsize="21600,21600" o:gfxdata="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8cFXPTAAAACwEAAA8AAAAAAAAAAQAgAAAAIgAAAGRycy9kb3ducmV2LnhtbFBLAQIU&#10;ABQAAAAIAIdO4kA7Qtl3MQIAACgEAAAOAAAAAAAAAAEAIAAAACIBAABkcnMvZTJvRG9jLnhtbFBL&#10;BQYAAAAABgAGAFkBAADFBQAAAAA=&#10;">
                      <v:fill on="f" focussize="0,0"/>
                      <v:stroke weight="1.5pt" color="#9DC3E6 [1944]" miterlimit="8" joinstyle="miter" endarrow="block"/>
                      <v:imagedata o:title=""/>
                      <o:lock v:ext="edit" aspectratio="f"/>
                    </v:shap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1031240</wp:posOffset>
                      </wp:positionH>
                      <wp:positionV relativeFrom="paragraph">
                        <wp:posOffset>1050290</wp:posOffset>
                      </wp:positionV>
                      <wp:extent cx="3633470" cy="0"/>
                      <wp:effectExtent l="0" t="9525" r="11430" b="15875"/>
                      <wp:wrapNone/>
                      <wp:docPr id="45" name="直接连接符 45"/>
                      <wp:cNvGraphicFramePr/>
                      <a:graphic xmlns:a="http://schemas.openxmlformats.org/drawingml/2006/main">
                        <a:graphicData uri="http://schemas.microsoft.com/office/word/2010/wordprocessingShape">
                          <wps:wsp>
                            <wps:cNvCnPr/>
                            <wps:spPr>
                              <a:xfrm>
                                <a:off x="2181225" y="6426835"/>
                                <a:ext cx="3633470" cy="0"/>
                              </a:xfrm>
                              <a:prstGeom prst="line">
                                <a:avLst/>
                              </a:prstGeom>
                              <a:ln w="19050">
                                <a:solidFill>
                                  <a:schemeClr val="accent5">
                                    <a:lumMod val="60000"/>
                                    <a:lumOff val="40000"/>
                                  </a:schemeClr>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81.2pt;margin-top:82.7pt;height:0pt;width:286.1pt;z-index:251663360;mso-width-relative:page;mso-height-relative:page;" filled="f" stroked="t" coordsize="21600,21600" o:gfxdata="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7TLG9YAAAALAQAADwAAAAAAAAAB&#10;ACAAAAAiAAAAZHJzL2Rvd25yZXYueG1sUEsBAhQAFAAAAAgAh07iQKvKW3YSAgAA+QMAAA4AAAAA&#10;AAAAAQAgAAAAJQEAAGRycy9lMm9Eb2MueG1sUEsFBgAAAAAGAAYAWQEAAKkFAAAAAA==&#10;">
                      <v:fill on="f" focussize="0,0"/>
                      <v:stroke weight="1.5pt" color="#9DC3E6 [1944]" miterlimit="8" joinstyle="miter"/>
                      <v:imagedata o:title=""/>
                      <o:lock v:ext="edit" aspectratio="f"/>
                    </v:lin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4650740</wp:posOffset>
                      </wp:positionH>
                      <wp:positionV relativeFrom="paragraph">
                        <wp:posOffset>845820</wp:posOffset>
                      </wp:positionV>
                      <wp:extent cx="6985" cy="204470"/>
                      <wp:effectExtent l="9525" t="635" r="21590" b="10795"/>
                      <wp:wrapNone/>
                      <wp:docPr id="44" name="直接连接符 44"/>
                      <wp:cNvGraphicFramePr/>
                      <a:graphic xmlns:a="http://schemas.openxmlformats.org/drawingml/2006/main">
                        <a:graphicData uri="http://schemas.microsoft.com/office/word/2010/wordprocessingShape">
                          <wps:wsp>
                            <wps:cNvCnPr/>
                            <wps:spPr>
                              <a:xfrm flipH="1">
                                <a:off x="5800725" y="6222365"/>
                                <a:ext cx="6985" cy="204470"/>
                              </a:xfrm>
                              <a:prstGeom prst="line">
                                <a:avLst/>
                              </a:prstGeom>
                              <a:ln>
                                <a:solidFill>
                                  <a:schemeClr val="accent5">
                                    <a:lumMod val="60000"/>
                                    <a:lumOff val="40000"/>
                                  </a:schemeClr>
                                </a:solidFill>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366.2pt;margin-top:66.6pt;height:16.1pt;width:0.55pt;z-index:251662336;mso-width-relative:page;mso-height-relative:page;" filled="f" stroked="t" coordsize="21600,21600" o:gfxdata="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h0U9vc&#10;AAAACwEAAA8AAAAAAAAAAQAgAAAAIgAAAGRycy9kb3ducmV2LnhtbFBLAQIUABQAAAAIAIdO4kD4&#10;dnchHAIAAAUEAAAOAAAAAAAAAAEAIAAAACsBAABkcnMvZTJvRG9jLnhtbFBLBQYAAAAABgAGAFkB&#10;AAC5BQAAAAA=&#10;">
                      <v:fill on="f" focussize="0,0"/>
                      <v:stroke weight="1.5pt" color="#9DC3E6 [1944]" miterlimit="8" joinstyle="miter"/>
                      <v:imagedata o:title=""/>
                      <o:lock v:ext="edit" aspectratio="f"/>
                    </v:lin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4531360</wp:posOffset>
                      </wp:positionH>
                      <wp:positionV relativeFrom="paragraph">
                        <wp:posOffset>2605405</wp:posOffset>
                      </wp:positionV>
                      <wp:extent cx="920115" cy="314325"/>
                      <wp:effectExtent l="0" t="0" r="6985" b="3175"/>
                      <wp:wrapNone/>
                      <wp:docPr id="43" name="文本框 43"/>
                      <wp:cNvGraphicFramePr/>
                      <a:graphic xmlns:a="http://schemas.openxmlformats.org/drawingml/2006/main">
                        <a:graphicData uri="http://schemas.microsoft.com/office/word/2010/wordprocessingShape">
                          <wps:wsp>
                            <wps:cNvSpPr txBox="1"/>
                            <wps:spPr>
                              <a:xfrm>
                                <a:off x="0" y="0"/>
                                <a:ext cx="920115" cy="3143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CA371E9">
                                  <w:pPr>
                                    <w:ind w:firstLine="210" w:firstLineChars="100"/>
                                    <w:jc w:val="left"/>
                                    <w:rPr>
                                      <w:rFonts w:hint="default" w:eastAsia="宋体"/>
                                      <w:lang w:val="en-US" w:eastAsia="zh-CN"/>
                                    </w:rPr>
                                  </w:pPr>
                                  <w:r>
                                    <w:rPr>
                                      <w:rFonts w:hint="eastAsia"/>
                                      <w:lang w:val="en-US" w:eastAsia="zh-CN"/>
                                    </w:rPr>
                                    <w:t>委外处理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8pt;margin-top:205.15pt;height:24.75pt;width:72.45pt;z-index:251661312;mso-width-relative:page;mso-height-relative:page;" fillcolor="#FFFFFF [3201]" filled="t" stroked="f" coordsize="21600,21600" o:gfxdata="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yiNbO1wAAAAsBAAAPAAAA&#10;AAAAAAEAIAAAACIAAABkcnMvZG93bnJldi54bWxQSwECFAAUAAAACACHTuJAE63YA08CAACQBAAA&#10;DgAAAAAAAAABACAAAAAmAQAAZHJzL2Uyb0RvYy54bWxQSwUGAAAAAAYABgBZAQAA5wUAAAAA&#10;">
                      <v:fill on="t" focussize="0,0"/>
                      <v:stroke on="f" weight="0.5pt"/>
                      <v:imagedata o:title=""/>
                      <o:lock v:ext="edit" aspectratio="f"/>
                      <v:textbox>
                        <w:txbxContent>
                          <w:p w14:paraId="5CA371E9">
                            <w:pPr>
                              <w:ind w:firstLine="210" w:firstLineChars="100"/>
                              <w:jc w:val="left"/>
                              <w:rPr>
                                <w:rFonts w:hint="default" w:eastAsia="宋体"/>
                                <w:lang w:val="en-US" w:eastAsia="zh-CN"/>
                              </w:rPr>
                            </w:pPr>
                            <w:r>
                              <w:rPr>
                                <w:rFonts w:hint="eastAsia"/>
                                <w:lang w:val="en-US" w:eastAsia="zh-CN"/>
                              </w:rPr>
                              <w:t>委外处理</w:t>
                            </w:r>
                          </w:p>
                        </w:txbxContent>
                      </v:textbox>
                    </v:shape>
                  </w:pict>
                </mc:Fallback>
              </mc:AlternateContent>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431165</wp:posOffset>
                      </wp:positionH>
                      <wp:positionV relativeFrom="paragraph">
                        <wp:posOffset>541020</wp:posOffset>
                      </wp:positionV>
                      <wp:extent cx="638810" cy="314325"/>
                      <wp:effectExtent l="0" t="0" r="8890" b="9525"/>
                      <wp:wrapNone/>
                      <wp:docPr id="47" name="文本框 47"/>
                      <wp:cNvGraphicFramePr/>
                      <a:graphic xmlns:a="http://schemas.openxmlformats.org/drawingml/2006/main">
                        <a:graphicData uri="http://schemas.microsoft.com/office/word/2010/wordprocessingShape">
                          <wps:wsp>
                            <wps:cNvSpPr txBox="1"/>
                            <wps:spPr>
                              <a:xfrm>
                                <a:off x="1562100" y="4699635"/>
                                <a:ext cx="638810" cy="3143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288913B">
                                  <w:pPr>
                                    <w:ind w:firstLine="210" w:firstLineChars="100"/>
                                    <w:rPr>
                                      <w:rFonts w:hint="eastAsia" w:eastAsia="宋体"/>
                                      <w:lang w:val="en-US" w:eastAsia="zh-CN"/>
                                    </w:rPr>
                                  </w:pPr>
                                  <w:r>
                                    <w:rPr>
                                      <w:rFonts w:hint="eastAsia"/>
                                      <w:lang w:val="en-US" w:eastAsia="zh-CN"/>
                                    </w:rPr>
                                    <w:t>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5pt;margin-top:42.6pt;height:24.75pt;width:50.3pt;z-index:251660288;mso-width-relative:page;mso-height-relative:page;" fillcolor="#FFFFFF [3201]" filled="t" stroked="f" coordsize="21600,21600" o:gfxdata="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qmxQk&#10;1gAAAAkBAAAPAAAAAAAAAAEAIAAAACIAAABkcnMvZG93bnJldi54bWxQSwECFAAUAAAACACHTuJA&#10;YBQIF1wCAACcBAAADgAAAAAAAAABACAAAAAlAQAAZHJzL2Uyb0RvYy54bWxQSwUGAAAAAAYABgBZ&#10;AQAA8wUAAAAA&#10;">
                      <v:fill on="t" focussize="0,0"/>
                      <v:stroke on="f" weight="0.5pt"/>
                      <v:imagedata o:title=""/>
                      <o:lock v:ext="edit" aspectratio="f"/>
                      <v:textbox>
                        <w:txbxContent>
                          <w:p w14:paraId="5288913B">
                            <w:pPr>
                              <w:ind w:firstLine="210" w:firstLineChars="100"/>
                              <w:rPr>
                                <w:rFonts w:hint="eastAsia" w:eastAsia="宋体"/>
                                <w:lang w:val="en-US" w:eastAsia="zh-CN"/>
                              </w:rPr>
                            </w:pPr>
                            <w:r>
                              <w:rPr>
                                <w:rFonts w:hint="eastAsia"/>
                                <w:lang w:val="en-US" w:eastAsia="zh-CN"/>
                              </w:rPr>
                              <w:t>废水</w:t>
                            </w:r>
                          </w:p>
                        </w:txbxContent>
                      </v:textbox>
                    </v:shape>
                  </w:pict>
                </mc:Fallback>
              </mc:AlternateContent>
            </w:r>
            <w:r>
              <w:rPr>
                <w:rFonts w:hint="default" w:ascii="Times New Roman" w:hAnsi="Times New Roman" w:eastAsia="宋体" w:cs="Times New Roman"/>
                <w:color w:val="000000" w:themeColor="text1"/>
                <w:highlight w:val="none"/>
                <w14:textFill>
                  <w14:solidFill>
                    <w14:schemeClr w14:val="tx1"/>
                  </w14:solidFill>
                </w14:textFill>
              </w:rPr>
              <w:drawing>
                <wp:inline distT="0" distB="0" distL="114300" distR="114300">
                  <wp:extent cx="5520690" cy="3055620"/>
                  <wp:effectExtent l="0" t="0" r="3810" b="508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9"/>
                          <a:stretch>
                            <a:fillRect/>
                          </a:stretch>
                        </pic:blipFill>
                        <pic:spPr>
                          <a:xfrm>
                            <a:off x="0" y="0"/>
                            <a:ext cx="5520690" cy="3055620"/>
                          </a:xfrm>
                          <a:prstGeom prst="rect">
                            <a:avLst/>
                          </a:prstGeom>
                          <a:noFill/>
                          <a:ln>
                            <a:noFill/>
                          </a:ln>
                        </pic:spPr>
                      </pic:pic>
                    </a:graphicData>
                  </a:graphic>
                </wp:inline>
              </w:drawing>
            </w:r>
          </w:p>
          <w:p w14:paraId="7141A0EC">
            <w:pPr>
              <w:keepNext w:val="0"/>
              <w:keepLines w:val="0"/>
              <w:widowControl/>
              <w:suppressLineNumbers w:val="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图 4-1 平望镇污水处理厂处理工艺流程</w:t>
            </w:r>
          </w:p>
          <w:p w14:paraId="72612253">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2、处理可行性 </w:t>
            </w:r>
          </w:p>
          <w:p w14:paraId="004C04F3">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本项目</w:t>
            </w:r>
            <w:r>
              <w:rPr>
                <w:rFonts w:hint="eastAsia" w:cs="Times New Roman"/>
                <w:color w:val="000000" w:themeColor="text1"/>
                <w:szCs w:val="21"/>
                <w:highlight w:val="none"/>
                <w:lang w:val="en-US" w:eastAsia="zh-CN"/>
                <w14:textFill>
                  <w14:solidFill>
                    <w14:schemeClr w14:val="tx1"/>
                  </w14:solidFill>
                </w14:textFill>
              </w:rPr>
              <w:t>涉及到的外排</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生产废水为酸碱废水</w:t>
            </w:r>
            <w:r>
              <w:rPr>
                <w:rFonts w:hint="eastAsia" w:cs="Times New Roman"/>
                <w:color w:val="000000" w:themeColor="text1"/>
                <w:szCs w:val="21"/>
                <w:highlight w:val="none"/>
                <w:lang w:val="en-US" w:eastAsia="zh-CN"/>
                <w14:textFill>
                  <w14:solidFill>
                    <w14:schemeClr w14:val="tx1"/>
                  </w14:solidFill>
                </w14:textFill>
              </w:rPr>
              <w:t>、反渗透浓水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，废水水质简单，且本项目已</w:t>
            </w:r>
            <w:r>
              <w:rPr>
                <w:rFonts w:hint="eastAsia" w:cs="Times New Roman"/>
                <w:color w:val="000000" w:themeColor="text1"/>
                <w:szCs w:val="21"/>
                <w:highlight w:val="none"/>
                <w:lang w:val="en-US" w:eastAsia="zh-CN"/>
                <w14:textFill>
                  <w14:solidFill>
                    <w14:schemeClr w14:val="tx1"/>
                  </w14:solidFill>
                </w14:textFill>
              </w:rPr>
              <w:t>与</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平望</w:t>
            </w:r>
            <w:r>
              <w:rPr>
                <w:rFonts w:hint="eastAsia" w:cs="Times New Roman"/>
                <w:color w:val="000000" w:themeColor="text1"/>
                <w:szCs w:val="21"/>
                <w:highlight w:val="none"/>
                <w:lang w:val="en-US" w:eastAsia="zh-CN"/>
                <w14:textFill>
                  <w14:solidFill>
                    <w14:schemeClr w14:val="tx1"/>
                  </w14:solidFill>
                </w14:textFill>
              </w:rPr>
              <w:t>镇</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污水处理厂签订了协议，</w:t>
            </w:r>
            <w:r>
              <w:rPr>
                <w:rFonts w:hint="default" w:ascii="Times New Roman" w:hAnsi="Times New Roman" w:eastAsia="宋体" w:cs="Times New Roman"/>
                <w:color w:val="000000" w:themeColor="text1"/>
                <w:szCs w:val="21"/>
                <w:highlight w:val="none"/>
                <w14:textFill>
                  <w14:solidFill>
                    <w14:schemeClr w14:val="tx1"/>
                  </w14:solidFill>
                </w14:textFill>
              </w:rPr>
              <w:t>且市政污水管道已铺设到位</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本项目生产废水处理可行。</w:t>
            </w:r>
          </w:p>
          <w:p w14:paraId="157445C5">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2）生活污水防治措施可行性 </w:t>
            </w:r>
          </w:p>
          <w:p w14:paraId="499B9D0D">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1、平望生活污水处理有限公司废水处理装置技术可行性 </w:t>
            </w:r>
          </w:p>
          <w:p w14:paraId="3C2A25EA">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苏州市吴江平望生活污水处理有限公司处理工艺流程见图 4-2。</w:t>
            </w:r>
          </w:p>
          <w:p w14:paraId="0F110132">
            <w:pPr>
              <w:keepNext w:val="0"/>
              <w:keepLines w:val="0"/>
              <w:widowControl/>
              <w:suppressLineNumbers w:val="0"/>
              <w:jc w:val="left"/>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drawing>
                <wp:inline distT="0" distB="0" distL="114300" distR="114300">
                  <wp:extent cx="4572000" cy="2082800"/>
                  <wp:effectExtent l="0" t="0" r="0" b="0"/>
                  <wp:docPr id="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
                          <pic:cNvPicPr>
                            <a:picLocks noChangeAspect="1"/>
                          </pic:cNvPicPr>
                        </pic:nvPicPr>
                        <pic:blipFill>
                          <a:blip r:embed="rId10"/>
                          <a:stretch>
                            <a:fillRect/>
                          </a:stretch>
                        </pic:blipFill>
                        <pic:spPr>
                          <a:xfrm>
                            <a:off x="0" y="0"/>
                            <a:ext cx="4572000" cy="2082800"/>
                          </a:xfrm>
                          <a:prstGeom prst="rect">
                            <a:avLst/>
                          </a:prstGeom>
                          <a:noFill/>
                          <a:ln>
                            <a:noFill/>
                          </a:ln>
                        </pic:spPr>
                      </pic:pic>
                    </a:graphicData>
                  </a:graphic>
                </wp:inline>
              </w:drawing>
            </w:r>
          </w:p>
          <w:p w14:paraId="58196928">
            <w:pPr>
              <w:keepNext w:val="0"/>
              <w:keepLines w:val="0"/>
              <w:widowControl/>
              <w:suppressLineNumbers w:val="0"/>
              <w:jc w:val="left"/>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 xml:space="preserve"> </w:t>
            </w:r>
          </w:p>
          <w:p w14:paraId="4DC8C37B">
            <w:pPr>
              <w:spacing w:line="48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图 4-2 平望生活污水处理有限公司工艺图</w:t>
            </w:r>
          </w:p>
          <w:p w14:paraId="5D472B84">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本建设单位产生的员工生活</w:t>
            </w:r>
            <w:r>
              <w:rPr>
                <w:rFonts w:hint="eastAsia" w:cs="Times New Roman"/>
                <w:color w:val="000000" w:themeColor="text1"/>
                <w:szCs w:val="21"/>
                <w:highlight w:val="none"/>
                <w:lang w:val="en-US" w:eastAsia="zh-CN"/>
                <w14:textFill>
                  <w14:solidFill>
                    <w14:schemeClr w14:val="tx1"/>
                  </w14:solidFill>
                </w14:textFill>
              </w:rPr>
              <w:t>污水</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主要污染物为COD、SS、氨氮、总氮和总磷，可以达到污水处理厂接管标准。且污水厂完全有余量可接纳本项目的废水，</w:t>
            </w:r>
            <w:r>
              <w:rPr>
                <w:rFonts w:hint="default" w:ascii="Times New Roman" w:hAnsi="Times New Roman" w:eastAsia="宋体" w:cs="Times New Roman"/>
                <w:color w:val="000000" w:themeColor="text1"/>
                <w:szCs w:val="21"/>
                <w:highlight w:val="none"/>
                <w14:textFill>
                  <w14:solidFill>
                    <w14:schemeClr w14:val="tx1"/>
                  </w14:solidFill>
                </w14:textFill>
              </w:rPr>
              <w:t>且市政污水管道已铺设到位</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，故具备处理的环境可行性。 </w:t>
            </w:r>
          </w:p>
          <w:p w14:paraId="631FCAA5">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综上所述，本项目生活污水排放至平望生活污水处理有限公司处理具有可行性。</w:t>
            </w:r>
          </w:p>
          <w:p w14:paraId="6648D40A">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监测计划：</w:t>
            </w:r>
          </w:p>
          <w:p w14:paraId="76C1E751">
            <w:pPr>
              <w:spacing w:line="480" w:lineRule="exact"/>
              <w:ind w:firstLine="420" w:firstLineChars="200"/>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对照《2025年苏州市环境监管重点单位名录》结合原有项目内容，本项目建设单位属于重点排污单位，根据《固定污染源排污许可分类管理名录》（2019年版）规定，建设单位排污许可管理应属于重点管理类别。依据《排污单位自行监测技术指南 火力发电及锅炉》（HJ820-2017），本期项目所在厂区废水的日常监测计划见下表：</w:t>
            </w:r>
          </w:p>
          <w:p w14:paraId="6BE37D00">
            <w:pPr>
              <w:spacing w:line="480" w:lineRule="exact"/>
              <w:ind w:firstLine="420" w:firstLineChars="20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表</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 xml:space="preserve">4-9  </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 xml:space="preserve"> 本期项目所在厂区废水的日常监测计划</w:t>
            </w:r>
          </w:p>
          <w:tbl>
            <w:tblPr>
              <w:tblStyle w:val="36"/>
              <w:tblW w:w="0" w:type="auto"/>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2599"/>
              <w:gridCol w:w="1847"/>
              <w:gridCol w:w="1958"/>
            </w:tblGrid>
            <w:tr w14:paraId="0D44D5DD">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noWrap w:val="0"/>
                  <w:vAlign w:val="center"/>
                </w:tcPr>
                <w:p w14:paraId="1C6297B5">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排放源</w:t>
                  </w:r>
                </w:p>
              </w:tc>
              <w:tc>
                <w:tcPr>
                  <w:tcW w:w="2599" w:type="dxa"/>
                  <w:noWrap w:val="0"/>
                  <w:vAlign w:val="center"/>
                </w:tcPr>
                <w:p w14:paraId="432AE6C5">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监测因子</w:t>
                  </w:r>
                </w:p>
              </w:tc>
              <w:tc>
                <w:tcPr>
                  <w:tcW w:w="1847" w:type="dxa"/>
                  <w:noWrap w:val="0"/>
                  <w:vAlign w:val="center"/>
                </w:tcPr>
                <w:p w14:paraId="62F1BE90">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监测点位</w:t>
                  </w:r>
                </w:p>
              </w:tc>
              <w:tc>
                <w:tcPr>
                  <w:tcW w:w="1958" w:type="dxa"/>
                  <w:noWrap w:val="0"/>
                  <w:vAlign w:val="center"/>
                </w:tcPr>
                <w:p w14:paraId="2938CAED">
                  <w:pPr>
                    <w:pStyle w:val="198"/>
                    <w:rPr>
                      <w:rFonts w:hint="default" w:ascii="Times New Roman" w:hAnsi="Times New Roman" w:eastAsia="宋体" w:cs="Times New Roman"/>
                      <w:b/>
                      <w:bCs/>
                      <w:color w:val="000000" w:themeColor="text1"/>
                      <w:sz w:val="18"/>
                      <w:szCs w:val="18"/>
                      <w:highlight w:val="none"/>
                      <w14:textFill>
                        <w14:solidFill>
                          <w14:schemeClr w14:val="tx1"/>
                        </w14:solidFill>
                      </w14:textFill>
                    </w:rPr>
                  </w:pPr>
                  <w:r>
                    <w:rPr>
                      <w:rFonts w:hint="default" w:ascii="Times New Roman" w:hAnsi="Times New Roman" w:eastAsia="宋体" w:cs="Times New Roman"/>
                      <w:b/>
                      <w:bCs/>
                      <w:color w:val="000000" w:themeColor="text1"/>
                      <w:sz w:val="18"/>
                      <w:szCs w:val="18"/>
                      <w:highlight w:val="none"/>
                      <w14:textFill>
                        <w14:solidFill>
                          <w14:schemeClr w14:val="tx1"/>
                        </w14:solidFill>
                      </w14:textFill>
                    </w:rPr>
                    <w:t>监测频次</w:t>
                  </w:r>
                </w:p>
              </w:tc>
            </w:tr>
            <w:tr w14:paraId="7380A69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restart"/>
                  <w:noWrap w:val="0"/>
                  <w:vAlign w:val="center"/>
                </w:tcPr>
                <w:p w14:paraId="69C281E5">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生产</w:t>
                  </w:r>
                  <w:r>
                    <w:rPr>
                      <w:rFonts w:hint="default" w:ascii="Times New Roman" w:hAnsi="Times New Roman" w:eastAsia="宋体" w:cs="Times New Roman"/>
                      <w:color w:val="000000" w:themeColor="text1"/>
                      <w:sz w:val="18"/>
                      <w:szCs w:val="18"/>
                      <w:highlight w:val="none"/>
                      <w14:textFill>
                        <w14:solidFill>
                          <w14:schemeClr w14:val="tx1"/>
                        </w14:solidFill>
                      </w14:textFill>
                    </w:rPr>
                    <w:t>废水</w:t>
                  </w:r>
                </w:p>
              </w:tc>
              <w:tc>
                <w:tcPr>
                  <w:tcW w:w="2599" w:type="dxa"/>
                  <w:noWrap w:val="0"/>
                  <w:vAlign w:val="center"/>
                </w:tcPr>
                <w:p w14:paraId="635117AA">
                  <w:pPr>
                    <w:pStyle w:val="198"/>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流量</w:t>
                  </w:r>
                </w:p>
              </w:tc>
              <w:tc>
                <w:tcPr>
                  <w:tcW w:w="1847" w:type="dxa"/>
                  <w:vMerge w:val="restart"/>
                  <w:noWrap w:val="0"/>
                  <w:vAlign w:val="center"/>
                </w:tcPr>
                <w:p w14:paraId="33833824">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生产</w:t>
                  </w:r>
                  <w:r>
                    <w:rPr>
                      <w:rFonts w:hint="default" w:ascii="Times New Roman" w:hAnsi="Times New Roman" w:eastAsia="宋体" w:cs="Times New Roman"/>
                      <w:color w:val="000000" w:themeColor="text1"/>
                      <w:sz w:val="18"/>
                      <w:szCs w:val="18"/>
                      <w:highlight w:val="none"/>
                      <w14:textFill>
                        <w14:solidFill>
                          <w14:schemeClr w14:val="tx1"/>
                        </w14:solidFill>
                      </w14:textFill>
                    </w:rPr>
                    <w:t>废水排口</w:t>
                  </w:r>
                </w:p>
              </w:tc>
              <w:tc>
                <w:tcPr>
                  <w:tcW w:w="1958" w:type="dxa"/>
                  <w:noWrap w:val="0"/>
                  <w:vAlign w:val="center"/>
                </w:tcPr>
                <w:p w14:paraId="613D8B0E">
                  <w:pPr>
                    <w:pStyle w:val="198"/>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自动</w:t>
                  </w:r>
                </w:p>
              </w:tc>
            </w:tr>
            <w:tr w14:paraId="0423625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8" w:type="dxa"/>
                  <w:vMerge w:val="continue"/>
                  <w:noWrap w:val="0"/>
                  <w:vAlign w:val="center"/>
                </w:tcPr>
                <w:p w14:paraId="56A5081D">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599" w:type="dxa"/>
                  <w:noWrap w:val="0"/>
                  <w:vAlign w:val="center"/>
                </w:tcPr>
                <w:p w14:paraId="631D031C">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COD、SS</w:t>
                  </w:r>
                </w:p>
              </w:tc>
              <w:tc>
                <w:tcPr>
                  <w:tcW w:w="1847" w:type="dxa"/>
                  <w:vMerge w:val="continue"/>
                  <w:noWrap w:val="0"/>
                  <w:vAlign w:val="center"/>
                </w:tcPr>
                <w:p w14:paraId="2FBCA87D">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958" w:type="dxa"/>
                  <w:noWrap w:val="0"/>
                  <w:vAlign w:val="center"/>
                </w:tcPr>
                <w:p w14:paraId="6542A739">
                  <w:pPr>
                    <w:pStyle w:val="198"/>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1次/季度</w:t>
                  </w:r>
                </w:p>
              </w:tc>
            </w:tr>
          </w:tbl>
          <w:p w14:paraId="02EDB53F">
            <w:pPr>
              <w:tabs>
                <w:tab w:val="left" w:pos="993"/>
                <w:tab w:val="left" w:pos="1276"/>
              </w:tabs>
              <w:spacing w:line="360" w:lineRule="auto"/>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4.2.3地表水环境影响评价结论</w:t>
            </w:r>
          </w:p>
          <w:p w14:paraId="5B168669">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eastAsia" w:cs="Times New Roman"/>
                <w:color w:val="000000" w:themeColor="text1"/>
                <w:szCs w:val="21"/>
                <w:highlight w:val="none"/>
                <w:lang w:val="en-US" w:eastAsia="zh-CN"/>
                <w14:textFill>
                  <w14:solidFill>
                    <w14:schemeClr w14:val="tx1"/>
                  </w14:solidFill>
                </w14:textFill>
              </w:rPr>
              <w:t>建成后全厂</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不新增废水排放量</w:t>
            </w:r>
            <w:r>
              <w:rPr>
                <w:rFonts w:hint="default" w:ascii="Times New Roman" w:hAnsi="Times New Roman" w:eastAsia="宋体" w:cs="Times New Roman"/>
                <w:color w:val="000000" w:themeColor="text1"/>
                <w:szCs w:val="21"/>
                <w:highlight w:val="none"/>
                <w14:textFill>
                  <w14:solidFill>
                    <w14:schemeClr w14:val="tx1"/>
                  </w14:solidFill>
                </w14:textFill>
              </w:rPr>
              <w:t>，排水水质能够满足相应标准要求，不会对</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污水处理厂</w:t>
            </w:r>
            <w:r>
              <w:rPr>
                <w:rFonts w:hint="default" w:ascii="Times New Roman" w:hAnsi="Times New Roman" w:eastAsia="宋体" w:cs="Times New Roman"/>
                <w:color w:val="000000" w:themeColor="text1"/>
                <w:szCs w:val="21"/>
                <w:highlight w:val="none"/>
                <w14:textFill>
                  <w14:solidFill>
                    <w14:schemeClr w14:val="tx1"/>
                  </w14:solidFill>
                </w14:textFill>
              </w:rPr>
              <w:t>运行造成负荷冲击和不良影响，本项目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生产</w:t>
            </w:r>
            <w:r>
              <w:rPr>
                <w:rFonts w:hint="default" w:ascii="Times New Roman" w:hAnsi="Times New Roman" w:eastAsia="宋体" w:cs="Times New Roman"/>
                <w:color w:val="000000" w:themeColor="text1"/>
                <w:szCs w:val="21"/>
                <w:highlight w:val="none"/>
                <w14:textFill>
                  <w14:solidFill>
                    <w14:schemeClr w14:val="tx1"/>
                  </w14:solidFill>
                </w14:textFill>
              </w:rPr>
              <w:t>废水可接管进入</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平望污水处理厂</w:t>
            </w:r>
            <w:r>
              <w:rPr>
                <w:rFonts w:hint="default" w:ascii="Times New Roman" w:hAnsi="Times New Roman" w:eastAsia="宋体" w:cs="Times New Roman"/>
                <w:color w:val="000000" w:themeColor="text1"/>
                <w:szCs w:val="21"/>
                <w:highlight w:val="none"/>
                <w14:textFill>
                  <w14:solidFill>
                    <w14:schemeClr w14:val="tx1"/>
                  </w14:solidFill>
                </w14:textFill>
              </w:rPr>
              <w:t>处理后达标排放</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生活污水可接管平望生活污水处理有限公司</w:t>
            </w:r>
            <w:r>
              <w:rPr>
                <w:rFonts w:hint="default" w:ascii="Times New Roman" w:hAnsi="Times New Roman" w:eastAsia="宋体" w:cs="Times New Roman"/>
                <w:color w:val="000000" w:themeColor="text1"/>
                <w:szCs w:val="21"/>
                <w:highlight w:val="none"/>
                <w14:textFill>
                  <w14:solidFill>
                    <w14:schemeClr w14:val="tx1"/>
                  </w14:solidFill>
                </w14:textFill>
              </w:rPr>
              <w:t>处理后达标排放。</w:t>
            </w:r>
          </w:p>
          <w:p w14:paraId="1B8F90FE">
            <w:pPr>
              <w:pStyle w:val="2"/>
              <w:numPr>
                <w:ilvl w:val="0"/>
                <w:numId w:val="9"/>
              </w:numPr>
              <w:spacing w:before="0" w:after="0" w:line="480" w:lineRule="exact"/>
              <w:ind w:left="0" w:firstLine="422"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噪声影响分析</w:t>
            </w:r>
          </w:p>
          <w:p w14:paraId="0E178063">
            <w:pPr>
              <w:spacing w:line="480" w:lineRule="exact"/>
              <w:ind w:firstLine="422" w:firstLineChars="200"/>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eastAsia" w:cs="Times New Roman"/>
                <w:b/>
                <w:bCs/>
                <w:color w:val="000000" w:themeColor="text1"/>
                <w:szCs w:val="21"/>
                <w:highlight w:val="none"/>
                <w:lang w:val="en-US" w:eastAsia="zh-CN"/>
                <w14:textFill>
                  <w14:solidFill>
                    <w14:schemeClr w14:val="tx1"/>
                  </w14:solidFill>
                </w14:textFill>
              </w:rPr>
              <w:t>3.1噪声源强</w:t>
            </w:r>
          </w:p>
          <w:p w14:paraId="3B54503D">
            <w:pPr>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eastAsia"/>
                <w:bCs/>
                <w:color w:val="000000" w:themeColor="text1"/>
                <w:sz w:val="21"/>
                <w:szCs w:val="21"/>
                <w:highlight w:val="none"/>
                <w:lang w:val="en-US" w:eastAsia="zh-CN"/>
                <w14:textFill>
                  <w14:solidFill>
                    <w14:schemeClr w14:val="tx1"/>
                  </w14:solidFill>
                </w14:textFill>
              </w:rPr>
              <w:t>主要噪声源为锅炉、泵、风机等</w:t>
            </w:r>
            <w:r>
              <w:rPr>
                <w:rFonts w:hint="default" w:ascii="Times New Roman" w:hAnsi="Times New Roman" w:eastAsia="宋体" w:cs="Times New Roman"/>
                <w:color w:val="000000" w:themeColor="text1"/>
                <w:szCs w:val="21"/>
                <w:highlight w:val="none"/>
                <w14:textFill>
                  <w14:solidFill>
                    <w14:schemeClr w14:val="tx1"/>
                  </w14:solidFill>
                </w14:textFill>
              </w:rPr>
              <w:t>，在运行时会产生噪声，噪声源强约</w:t>
            </w:r>
            <w:r>
              <w:rPr>
                <w:rFonts w:hint="eastAsia" w:cs="Times New Roman"/>
                <w:color w:val="000000" w:themeColor="text1"/>
                <w:szCs w:val="21"/>
                <w:highlight w:val="none"/>
                <w:lang w:val="en-US" w:eastAsia="zh-CN"/>
                <w14:textFill>
                  <w14:solidFill>
                    <w14:schemeClr w14:val="tx1"/>
                  </w14:solidFill>
                </w14:textFill>
              </w:rPr>
              <w:t>75~85</w:t>
            </w:r>
            <w:r>
              <w:rPr>
                <w:rFonts w:hint="default" w:ascii="Times New Roman" w:hAnsi="Times New Roman" w:eastAsia="宋体" w:cs="Times New Roman"/>
                <w:color w:val="000000" w:themeColor="text1"/>
                <w:szCs w:val="21"/>
                <w:highlight w:val="none"/>
                <w14:textFill>
                  <w14:solidFill>
                    <w14:schemeClr w14:val="tx1"/>
                  </w14:solidFill>
                </w14:textFill>
              </w:rPr>
              <w:t>dB(A)。采取隔声、减振、合理布局、距离衰减等措施后，本项目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各</w:t>
            </w:r>
            <w:r>
              <w:rPr>
                <w:rFonts w:hint="default" w:ascii="Times New Roman" w:hAnsi="Times New Roman" w:eastAsia="宋体" w:cs="Times New Roman"/>
                <w:color w:val="000000" w:themeColor="text1"/>
                <w:szCs w:val="21"/>
                <w:highlight w:val="none"/>
                <w14:textFill>
                  <w14:solidFill>
                    <w14:schemeClr w14:val="tx1"/>
                  </w14:solidFill>
                </w14:textFill>
              </w:rPr>
              <w:t>厂界噪声可达到《工业企业厂界环境噪声排放标准》（GB12348-2008）</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2类、</w:t>
            </w:r>
            <w:r>
              <w:rPr>
                <w:rFonts w:hint="default" w:ascii="Times New Roman" w:hAnsi="Times New Roman" w:eastAsia="宋体" w:cs="Times New Roman"/>
                <w:color w:val="000000" w:themeColor="text1"/>
                <w:szCs w:val="21"/>
                <w:highlight w:val="none"/>
                <w14:textFill>
                  <w14:solidFill>
                    <w14:schemeClr w14:val="tx1"/>
                  </w14:solidFill>
                </w14:textFill>
              </w:rPr>
              <w:t>3类</w:t>
            </w:r>
            <w:r>
              <w:rPr>
                <w:rFonts w:hint="eastAsia" w:ascii="Times New Roman" w:hAnsi="Times New Roman" w:eastAsia="宋体" w:cs="Times New Roman"/>
                <w:color w:val="000000" w:themeColor="text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4a</w:t>
            </w:r>
            <w:r>
              <w:rPr>
                <w:rFonts w:hint="default" w:ascii="Times New Roman" w:hAnsi="Times New Roman" w:eastAsia="宋体" w:cs="Times New Roman"/>
                <w:color w:val="000000" w:themeColor="text1"/>
                <w:szCs w:val="21"/>
                <w:highlight w:val="none"/>
                <w14:textFill>
                  <w14:solidFill>
                    <w14:schemeClr w14:val="tx1"/>
                  </w14:solidFill>
                </w14:textFill>
              </w:rPr>
              <w:t>标准。本项目室内声源噪声源调查情况分别见表4-</w:t>
            </w:r>
            <w:r>
              <w:rPr>
                <w:rFonts w:hint="eastAsia" w:cs="Times New Roman"/>
                <w:color w:val="000000" w:themeColor="text1"/>
                <w:szCs w:val="21"/>
                <w:highlight w:val="none"/>
                <w:lang w:val="en-US" w:eastAsia="zh-CN"/>
                <w14:textFill>
                  <w14:solidFill>
                    <w14:schemeClr w14:val="tx1"/>
                  </w14:solidFill>
                </w14:textFill>
              </w:rPr>
              <w:t>8，本项目厂界50米范围内声环境保护目标情况见表4-9</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489F0208">
            <w:pPr>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p>
        </w:tc>
      </w:tr>
    </w:tbl>
    <w:p w14:paraId="1C5CF49F">
      <w:pPr>
        <w:adjustRightInd w:val="0"/>
        <w:snapToGrid w:val="0"/>
        <w:jc w:val="center"/>
        <w:rPr>
          <w:rFonts w:hint="default" w:ascii="Times New Roman" w:hAnsi="Times New Roman" w:eastAsia="宋体" w:cs="Times New Roman"/>
          <w:bCs/>
          <w:color w:val="000000" w:themeColor="text1"/>
          <w:szCs w:val="21"/>
          <w:highlight w:val="none"/>
          <w14:textFill>
            <w14:solidFill>
              <w14:schemeClr w14:val="tx1"/>
            </w14:solidFill>
          </w14:textFill>
        </w:rPr>
        <w:sectPr>
          <w:footerReference r:id="rId4" w:type="default"/>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16"/>
        <w:gridCol w:w="12729"/>
      </w:tblGrid>
      <w:tr w14:paraId="70D288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10" w:hRule="atLeast"/>
          <w:jc w:val="center"/>
        </w:trPr>
        <w:tc>
          <w:tcPr>
            <w:tcW w:w="416" w:type="dxa"/>
            <w:tcMar>
              <w:left w:w="28" w:type="dxa"/>
              <w:right w:w="28" w:type="dxa"/>
            </w:tcMar>
            <w:vAlign w:val="center"/>
          </w:tcPr>
          <w:p w14:paraId="31AD16C3">
            <w:pPr>
              <w:adjustRightInd w:val="0"/>
              <w:snapToGrid w:val="0"/>
              <w:jc w:val="center"/>
              <w:rPr>
                <w:rFonts w:hint="default" w:ascii="Times New Roman" w:hAnsi="Times New Roman" w:eastAsia="宋体"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运营期环境影响和保护措施</w:t>
            </w:r>
          </w:p>
        </w:tc>
        <w:tc>
          <w:tcPr>
            <w:tcW w:w="11769" w:type="dxa"/>
          </w:tcPr>
          <w:p w14:paraId="739A35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000000" w:themeColor="text1"/>
                <w:sz w:val="21"/>
                <w:szCs w:val="21"/>
                <w:highlight w:val="none"/>
                <w:lang w:val="en-US" w:eastAsia="zh-CN"/>
                <w14:textFill>
                  <w14:solidFill>
                    <w14:schemeClr w14:val="tx1"/>
                  </w14:solidFill>
                </w14:textFill>
              </w:rPr>
            </w:pPr>
            <w:r>
              <w:rPr>
                <w:rFonts w:hint="eastAsia"/>
                <w:b w:val="0"/>
                <w:bCs/>
                <w:color w:val="000000" w:themeColor="text1"/>
                <w:sz w:val="21"/>
                <w:szCs w:val="21"/>
                <w:highlight w:val="none"/>
                <w14:textFill>
                  <w14:solidFill>
                    <w14:schemeClr w14:val="tx1"/>
                  </w14:solidFill>
                </w14:textFill>
              </w:rPr>
              <w:t>表4-</w:t>
            </w:r>
            <w:r>
              <w:rPr>
                <w:rFonts w:hint="eastAsia"/>
                <w:b w:val="0"/>
                <w:bCs/>
                <w:color w:val="000000" w:themeColor="text1"/>
                <w:sz w:val="21"/>
                <w:szCs w:val="21"/>
                <w:highlight w:val="none"/>
                <w:lang w:val="en-US" w:eastAsia="zh-CN"/>
                <w14:textFill>
                  <w14:solidFill>
                    <w14:schemeClr w14:val="tx1"/>
                  </w14:solidFill>
                </w14:textFill>
              </w:rPr>
              <w:t xml:space="preserve">10 </w:t>
            </w:r>
            <w:r>
              <w:rPr>
                <w:rFonts w:hint="eastAsia"/>
                <w:b w:val="0"/>
                <w:bCs/>
                <w:color w:val="000000" w:themeColor="text1"/>
                <w:sz w:val="21"/>
                <w:szCs w:val="21"/>
                <w:highlight w:val="none"/>
                <w14:textFill>
                  <w14:solidFill>
                    <w14:schemeClr w14:val="tx1"/>
                  </w14:solidFill>
                </w14:textFill>
              </w:rPr>
              <w:t xml:space="preserve"> </w:t>
            </w:r>
            <w:r>
              <w:rPr>
                <w:rFonts w:hint="eastAsia"/>
                <w:b w:val="0"/>
                <w:bCs/>
                <w:color w:val="000000" w:themeColor="text1"/>
                <w:sz w:val="21"/>
                <w:szCs w:val="21"/>
                <w:highlight w:val="none"/>
                <w:lang w:val="en-US" w:eastAsia="zh-CN"/>
                <w14:textFill>
                  <w14:solidFill>
                    <w14:schemeClr w14:val="tx1"/>
                  </w14:solidFill>
                </w14:textFill>
              </w:rPr>
              <w:t>本项目</w:t>
            </w:r>
            <w:r>
              <w:rPr>
                <w:rFonts w:hint="eastAsia"/>
                <w:b w:val="0"/>
                <w:bCs/>
                <w:color w:val="000000" w:themeColor="text1"/>
                <w:sz w:val="21"/>
                <w:szCs w:val="21"/>
                <w:highlight w:val="none"/>
                <w14:textFill>
                  <w14:solidFill>
                    <w14:schemeClr w14:val="tx1"/>
                  </w14:solidFill>
                </w14:textFill>
              </w:rPr>
              <w:t>噪声</w:t>
            </w:r>
            <w:r>
              <w:rPr>
                <w:rFonts w:hint="eastAsia"/>
                <w:b w:val="0"/>
                <w:bCs/>
                <w:color w:val="000000" w:themeColor="text1"/>
                <w:sz w:val="21"/>
                <w:szCs w:val="21"/>
                <w:highlight w:val="none"/>
                <w:lang w:val="en-US" w:eastAsia="zh-CN"/>
                <w14:textFill>
                  <w14:solidFill>
                    <w14:schemeClr w14:val="tx1"/>
                  </w14:solidFill>
                </w14:textFill>
              </w:rPr>
              <w:t>源强调查清单（室内声源）</w:t>
            </w:r>
          </w:p>
          <w:tbl>
            <w:tblPr>
              <w:tblStyle w:val="36"/>
              <w:tblW w:w="1248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00"/>
              <w:gridCol w:w="713"/>
              <w:gridCol w:w="1288"/>
              <w:gridCol w:w="627"/>
              <w:gridCol w:w="862"/>
              <w:gridCol w:w="988"/>
              <w:gridCol w:w="740"/>
              <w:gridCol w:w="709"/>
              <w:gridCol w:w="695"/>
              <w:gridCol w:w="976"/>
              <w:gridCol w:w="944"/>
              <w:gridCol w:w="712"/>
              <w:gridCol w:w="1165"/>
              <w:gridCol w:w="779"/>
              <w:gridCol w:w="885"/>
            </w:tblGrid>
            <w:tr w14:paraId="1E646B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400" w:type="dxa"/>
                  <w:vMerge w:val="restart"/>
                  <w:tcBorders>
                    <w:tl2br w:val="nil"/>
                    <w:tr2bl w:val="nil"/>
                  </w:tcBorders>
                  <w:shd w:val="clear" w:color="auto" w:fill="auto"/>
                  <w:vAlign w:val="center"/>
                </w:tcPr>
                <w:p w14:paraId="328C125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序号</w:t>
                  </w:r>
                </w:p>
              </w:tc>
              <w:tc>
                <w:tcPr>
                  <w:tcW w:w="713" w:type="dxa"/>
                  <w:vMerge w:val="restart"/>
                  <w:tcBorders>
                    <w:tl2br w:val="nil"/>
                    <w:tr2bl w:val="nil"/>
                  </w:tcBorders>
                  <w:shd w:val="clear" w:color="auto" w:fill="auto"/>
                  <w:vAlign w:val="center"/>
                </w:tcPr>
                <w:p w14:paraId="7B2F804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建筑物名称</w:t>
                  </w:r>
                </w:p>
              </w:tc>
              <w:tc>
                <w:tcPr>
                  <w:tcW w:w="1288" w:type="dxa"/>
                  <w:vMerge w:val="restart"/>
                  <w:tcBorders>
                    <w:tl2br w:val="nil"/>
                    <w:tr2bl w:val="nil"/>
                  </w:tcBorders>
                  <w:shd w:val="clear" w:color="auto" w:fill="auto"/>
                  <w:vAlign w:val="center"/>
                </w:tcPr>
                <w:p w14:paraId="78C927C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声源名称</w:t>
                  </w:r>
                </w:p>
              </w:tc>
              <w:tc>
                <w:tcPr>
                  <w:tcW w:w="627" w:type="dxa"/>
                  <w:vMerge w:val="restart"/>
                  <w:tcBorders>
                    <w:tl2br w:val="nil"/>
                    <w:tr2bl w:val="nil"/>
                  </w:tcBorders>
                  <w:shd w:val="clear" w:color="auto" w:fill="auto"/>
                  <w:vAlign w:val="center"/>
                </w:tcPr>
                <w:p w14:paraId="45288D49">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数量</w:t>
                  </w:r>
                </w:p>
              </w:tc>
              <w:tc>
                <w:tcPr>
                  <w:tcW w:w="862" w:type="dxa"/>
                  <w:vMerge w:val="restart"/>
                  <w:tcBorders>
                    <w:tl2br w:val="nil"/>
                    <w:tr2bl w:val="nil"/>
                  </w:tcBorders>
                  <w:shd w:val="clear" w:color="auto" w:fill="auto"/>
                  <w:vAlign w:val="center"/>
                </w:tcPr>
                <w:p w14:paraId="0A0ABB2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声</w:t>
                  </w:r>
                  <w:r>
                    <w:rPr>
                      <w:rFonts w:hint="default" w:ascii="Times New Roman" w:hAnsi="Times New Roman" w:cs="Times New Roman"/>
                      <w:b/>
                      <w:bCs/>
                      <w:i w:val="0"/>
                      <w:iCs w:val="0"/>
                      <w:color w:val="000000" w:themeColor="text1"/>
                      <w:kern w:val="0"/>
                      <w:sz w:val="18"/>
                      <w:szCs w:val="18"/>
                      <w:highlight w:val="none"/>
                      <w:u w:val="none"/>
                      <w:lang w:val="en-US" w:eastAsia="zh-CN" w:bidi="ar"/>
                      <w14:textFill>
                        <w14:solidFill>
                          <w14:schemeClr w14:val="tx1"/>
                        </w14:solidFill>
                      </w14:textFill>
                    </w:rPr>
                    <w:t>功率</w:t>
                  </w: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级/dB(A)</w:t>
                  </w:r>
                </w:p>
              </w:tc>
              <w:tc>
                <w:tcPr>
                  <w:tcW w:w="988" w:type="dxa"/>
                  <w:vMerge w:val="restart"/>
                  <w:tcBorders>
                    <w:tl2br w:val="nil"/>
                    <w:tr2bl w:val="nil"/>
                  </w:tcBorders>
                  <w:shd w:val="clear" w:color="auto" w:fill="auto"/>
                  <w:vAlign w:val="center"/>
                </w:tcPr>
                <w:p w14:paraId="1EB0397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声源控制措施</w:t>
                  </w:r>
                </w:p>
              </w:tc>
              <w:tc>
                <w:tcPr>
                  <w:tcW w:w="2144" w:type="dxa"/>
                  <w:gridSpan w:val="3"/>
                  <w:tcBorders>
                    <w:tl2br w:val="nil"/>
                    <w:tr2bl w:val="nil"/>
                  </w:tcBorders>
                  <w:shd w:val="clear" w:color="auto" w:fill="auto"/>
                  <w:vAlign w:val="center"/>
                </w:tcPr>
                <w:p w14:paraId="796AD67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空间相对位置/m</w:t>
                  </w:r>
                </w:p>
              </w:tc>
              <w:tc>
                <w:tcPr>
                  <w:tcW w:w="976" w:type="dxa"/>
                  <w:vMerge w:val="restart"/>
                  <w:tcBorders>
                    <w:tl2br w:val="nil"/>
                    <w:tr2bl w:val="nil"/>
                  </w:tcBorders>
                  <w:shd w:val="clear" w:color="auto" w:fill="auto"/>
                  <w:vAlign w:val="center"/>
                </w:tcPr>
                <w:p w14:paraId="27F7DD7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距室内边界距离/m</w:t>
                  </w:r>
                </w:p>
              </w:tc>
              <w:tc>
                <w:tcPr>
                  <w:tcW w:w="944" w:type="dxa"/>
                  <w:vMerge w:val="restart"/>
                  <w:tcBorders>
                    <w:tl2br w:val="nil"/>
                    <w:tr2bl w:val="nil"/>
                  </w:tcBorders>
                  <w:shd w:val="clear" w:color="auto" w:fill="auto"/>
                  <w:vAlign w:val="center"/>
                </w:tcPr>
                <w:p w14:paraId="0F50DB0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室内边界声级/dB(A)</w:t>
                  </w:r>
                </w:p>
              </w:tc>
              <w:tc>
                <w:tcPr>
                  <w:tcW w:w="712" w:type="dxa"/>
                  <w:vMerge w:val="restart"/>
                  <w:tcBorders>
                    <w:tl2br w:val="nil"/>
                    <w:tr2bl w:val="nil"/>
                  </w:tcBorders>
                  <w:shd w:val="clear" w:color="auto" w:fill="auto"/>
                  <w:vAlign w:val="center"/>
                </w:tcPr>
                <w:p w14:paraId="1FE0026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运行时段</w:t>
                  </w:r>
                </w:p>
              </w:tc>
              <w:tc>
                <w:tcPr>
                  <w:tcW w:w="1165" w:type="dxa"/>
                  <w:vMerge w:val="restart"/>
                  <w:tcBorders>
                    <w:tl2br w:val="nil"/>
                    <w:tr2bl w:val="nil"/>
                  </w:tcBorders>
                  <w:shd w:val="clear" w:color="auto" w:fill="auto"/>
                  <w:vAlign w:val="center"/>
                </w:tcPr>
                <w:p w14:paraId="3531C3A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建筑物插入损失/dB(A)</w:t>
                  </w:r>
                </w:p>
              </w:tc>
              <w:tc>
                <w:tcPr>
                  <w:tcW w:w="1664" w:type="dxa"/>
                  <w:gridSpan w:val="2"/>
                  <w:tcBorders>
                    <w:tl2br w:val="nil"/>
                    <w:tr2bl w:val="nil"/>
                  </w:tcBorders>
                  <w:shd w:val="clear" w:color="auto" w:fill="auto"/>
                  <w:vAlign w:val="center"/>
                </w:tcPr>
                <w:p w14:paraId="7E435CB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建筑物外噪声</w:t>
                  </w:r>
                </w:p>
              </w:tc>
            </w:tr>
            <w:tr w14:paraId="1D6722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00" w:type="dxa"/>
                  <w:vMerge w:val="continue"/>
                  <w:tcBorders>
                    <w:tl2br w:val="nil"/>
                    <w:tr2bl w:val="nil"/>
                  </w:tcBorders>
                  <w:shd w:val="clear" w:color="auto" w:fill="auto"/>
                  <w:vAlign w:val="center"/>
                </w:tcPr>
                <w:p w14:paraId="52AB778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713" w:type="dxa"/>
                  <w:vMerge w:val="continue"/>
                  <w:tcBorders>
                    <w:tl2br w:val="nil"/>
                    <w:tr2bl w:val="nil"/>
                  </w:tcBorders>
                  <w:shd w:val="clear" w:color="auto" w:fill="auto"/>
                  <w:vAlign w:val="center"/>
                </w:tcPr>
                <w:p w14:paraId="7CD17D4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1288" w:type="dxa"/>
                  <w:vMerge w:val="continue"/>
                  <w:tcBorders>
                    <w:tl2br w:val="nil"/>
                    <w:tr2bl w:val="nil"/>
                  </w:tcBorders>
                  <w:shd w:val="clear" w:color="auto" w:fill="auto"/>
                  <w:vAlign w:val="center"/>
                </w:tcPr>
                <w:p w14:paraId="79487D2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627" w:type="dxa"/>
                  <w:vMerge w:val="continue"/>
                  <w:tcBorders>
                    <w:tl2br w:val="nil"/>
                    <w:tr2bl w:val="nil"/>
                  </w:tcBorders>
                  <w:shd w:val="clear" w:color="auto" w:fill="auto"/>
                  <w:vAlign w:val="center"/>
                </w:tcPr>
                <w:p w14:paraId="6AEA36E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862" w:type="dxa"/>
                  <w:vMerge w:val="continue"/>
                  <w:tcBorders>
                    <w:tl2br w:val="nil"/>
                    <w:tr2bl w:val="nil"/>
                  </w:tcBorders>
                  <w:shd w:val="clear" w:color="auto" w:fill="auto"/>
                  <w:vAlign w:val="center"/>
                </w:tcPr>
                <w:p w14:paraId="60AADA8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988" w:type="dxa"/>
                  <w:vMerge w:val="continue"/>
                  <w:tcBorders>
                    <w:tl2br w:val="nil"/>
                    <w:tr2bl w:val="nil"/>
                  </w:tcBorders>
                  <w:shd w:val="clear" w:color="auto" w:fill="auto"/>
                  <w:vAlign w:val="center"/>
                </w:tcPr>
                <w:p w14:paraId="7BEC604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vAlign w:val="center"/>
                </w:tcPr>
                <w:p w14:paraId="5C6AB30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X</w:t>
                  </w:r>
                </w:p>
              </w:tc>
              <w:tc>
                <w:tcPr>
                  <w:tcW w:w="709" w:type="dxa"/>
                  <w:tcBorders>
                    <w:tl2br w:val="nil"/>
                    <w:tr2bl w:val="nil"/>
                  </w:tcBorders>
                  <w:shd w:val="clear" w:color="auto" w:fill="auto"/>
                  <w:vAlign w:val="center"/>
                </w:tcPr>
                <w:p w14:paraId="3FBFEED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Y</w:t>
                  </w:r>
                </w:p>
              </w:tc>
              <w:tc>
                <w:tcPr>
                  <w:tcW w:w="695" w:type="dxa"/>
                  <w:tcBorders>
                    <w:tl2br w:val="nil"/>
                    <w:tr2bl w:val="nil"/>
                  </w:tcBorders>
                  <w:shd w:val="clear" w:color="auto" w:fill="auto"/>
                  <w:vAlign w:val="center"/>
                </w:tcPr>
                <w:p w14:paraId="3AE05DC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Z</w:t>
                  </w:r>
                </w:p>
              </w:tc>
              <w:tc>
                <w:tcPr>
                  <w:tcW w:w="976" w:type="dxa"/>
                  <w:vMerge w:val="continue"/>
                  <w:tcBorders>
                    <w:tl2br w:val="nil"/>
                    <w:tr2bl w:val="nil"/>
                  </w:tcBorders>
                  <w:shd w:val="clear" w:color="auto" w:fill="auto"/>
                  <w:vAlign w:val="center"/>
                </w:tcPr>
                <w:p w14:paraId="022AFF2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944" w:type="dxa"/>
                  <w:vMerge w:val="continue"/>
                  <w:tcBorders>
                    <w:tl2br w:val="nil"/>
                    <w:tr2bl w:val="nil"/>
                  </w:tcBorders>
                  <w:shd w:val="clear" w:color="auto" w:fill="auto"/>
                  <w:vAlign w:val="center"/>
                </w:tcPr>
                <w:p w14:paraId="260EE24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712" w:type="dxa"/>
                  <w:vMerge w:val="continue"/>
                  <w:tcBorders>
                    <w:tl2br w:val="nil"/>
                    <w:tr2bl w:val="nil"/>
                  </w:tcBorders>
                  <w:shd w:val="clear" w:color="auto" w:fill="auto"/>
                  <w:vAlign w:val="center"/>
                </w:tcPr>
                <w:p w14:paraId="3EA89B5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1165" w:type="dxa"/>
                  <w:vMerge w:val="continue"/>
                  <w:tcBorders>
                    <w:tl2br w:val="nil"/>
                    <w:tr2bl w:val="nil"/>
                  </w:tcBorders>
                  <w:shd w:val="clear" w:color="auto" w:fill="auto"/>
                  <w:vAlign w:val="center"/>
                </w:tcPr>
                <w:p w14:paraId="302EF93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779" w:type="dxa"/>
                  <w:tcBorders>
                    <w:tl2br w:val="nil"/>
                    <w:tr2bl w:val="nil"/>
                  </w:tcBorders>
                  <w:shd w:val="clear" w:color="auto" w:fill="auto"/>
                  <w:vAlign w:val="center"/>
                </w:tcPr>
                <w:p w14:paraId="249D867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声压级/dB(A)</w:t>
                  </w:r>
                </w:p>
              </w:tc>
              <w:tc>
                <w:tcPr>
                  <w:tcW w:w="885" w:type="dxa"/>
                  <w:tcBorders>
                    <w:tl2br w:val="nil"/>
                    <w:tr2bl w:val="nil"/>
                  </w:tcBorders>
                  <w:shd w:val="clear" w:color="auto" w:fill="auto"/>
                  <w:vAlign w:val="center"/>
                </w:tcPr>
                <w:p w14:paraId="4F61146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建筑物外距离/m</w:t>
                  </w:r>
                </w:p>
              </w:tc>
            </w:tr>
            <w:tr w14:paraId="09CED9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00" w:type="dxa"/>
                  <w:tcBorders>
                    <w:tl2br w:val="nil"/>
                    <w:tr2bl w:val="nil"/>
                  </w:tcBorders>
                  <w:shd w:val="clear" w:color="auto" w:fill="auto"/>
                  <w:vAlign w:val="center"/>
                </w:tcPr>
                <w:p w14:paraId="4286DE55">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w:t>
                  </w:r>
                </w:p>
              </w:tc>
              <w:tc>
                <w:tcPr>
                  <w:tcW w:w="713" w:type="dxa"/>
                  <w:vMerge w:val="restart"/>
                  <w:tcBorders>
                    <w:tl2br w:val="nil"/>
                    <w:tr2bl w:val="nil"/>
                  </w:tcBorders>
                  <w:shd w:val="clear" w:color="auto" w:fill="auto"/>
                  <w:noWrap/>
                  <w:vAlign w:val="center"/>
                </w:tcPr>
                <w:p w14:paraId="42178C9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锅炉房</w:t>
                  </w:r>
                </w:p>
              </w:tc>
              <w:tc>
                <w:tcPr>
                  <w:tcW w:w="1288" w:type="dxa"/>
                  <w:tcBorders>
                    <w:tl2br w:val="nil"/>
                    <w:tr2bl w:val="nil"/>
                  </w:tcBorders>
                  <w:shd w:val="clear" w:color="auto" w:fill="auto"/>
                  <w:noWrap/>
                  <w:vAlign w:val="center"/>
                </w:tcPr>
                <w:p w14:paraId="681C2EE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燃气锅炉</w:t>
                  </w:r>
                </w:p>
              </w:tc>
              <w:tc>
                <w:tcPr>
                  <w:tcW w:w="627" w:type="dxa"/>
                  <w:tcBorders>
                    <w:tl2br w:val="nil"/>
                    <w:tr2bl w:val="nil"/>
                  </w:tcBorders>
                  <w:shd w:val="clear" w:color="auto" w:fill="auto"/>
                  <w:noWrap/>
                  <w:vAlign w:val="center"/>
                </w:tcPr>
                <w:p w14:paraId="7A59711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862" w:type="dxa"/>
                  <w:tcBorders>
                    <w:tl2br w:val="nil"/>
                    <w:tr2bl w:val="nil"/>
                  </w:tcBorders>
                  <w:shd w:val="clear" w:color="auto" w:fill="auto"/>
                  <w:noWrap/>
                  <w:vAlign w:val="center"/>
                </w:tcPr>
                <w:p w14:paraId="16D99D7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85</w:t>
                  </w:r>
                </w:p>
              </w:tc>
              <w:tc>
                <w:tcPr>
                  <w:tcW w:w="988" w:type="dxa"/>
                  <w:vMerge w:val="restart"/>
                  <w:tcBorders>
                    <w:tl2br w:val="nil"/>
                    <w:tr2bl w:val="nil"/>
                  </w:tcBorders>
                  <w:shd w:val="clear" w:color="auto" w:fill="auto"/>
                  <w:vAlign w:val="center"/>
                </w:tcPr>
                <w:p w14:paraId="4E5580A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隔声、减震、合理布局、距离衰减</w:t>
                  </w:r>
                </w:p>
              </w:tc>
              <w:tc>
                <w:tcPr>
                  <w:tcW w:w="740" w:type="dxa"/>
                  <w:tcBorders>
                    <w:tl2br w:val="nil"/>
                    <w:tr2bl w:val="nil"/>
                  </w:tcBorders>
                  <w:shd w:val="clear" w:color="auto" w:fill="auto"/>
                  <w:noWrap/>
                  <w:vAlign w:val="center"/>
                </w:tcPr>
                <w:p w14:paraId="71C422F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709" w:type="dxa"/>
                  <w:tcBorders>
                    <w:tl2br w:val="nil"/>
                    <w:tr2bl w:val="nil"/>
                  </w:tcBorders>
                  <w:shd w:val="clear" w:color="auto" w:fill="auto"/>
                  <w:noWrap/>
                  <w:vAlign w:val="center"/>
                </w:tcPr>
                <w:p w14:paraId="7852908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695" w:type="dxa"/>
                  <w:tcBorders>
                    <w:tl2br w:val="nil"/>
                    <w:tr2bl w:val="nil"/>
                  </w:tcBorders>
                  <w:shd w:val="clear" w:color="auto" w:fill="auto"/>
                  <w:noWrap/>
                  <w:vAlign w:val="center"/>
                </w:tcPr>
                <w:p w14:paraId="38A1C42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6DAD50D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5</w:t>
                  </w:r>
                </w:p>
              </w:tc>
              <w:tc>
                <w:tcPr>
                  <w:tcW w:w="944" w:type="dxa"/>
                  <w:tcBorders>
                    <w:tl2br w:val="nil"/>
                    <w:tr2bl w:val="nil"/>
                  </w:tcBorders>
                  <w:shd w:val="clear" w:color="auto" w:fill="auto"/>
                  <w:noWrap/>
                  <w:vAlign w:val="center"/>
                </w:tcPr>
                <w:p w14:paraId="4AC4F21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71.02</w:t>
                  </w:r>
                </w:p>
              </w:tc>
              <w:tc>
                <w:tcPr>
                  <w:tcW w:w="712" w:type="dxa"/>
                  <w:tcBorders>
                    <w:tl2br w:val="nil"/>
                    <w:tr2bl w:val="nil"/>
                  </w:tcBorders>
                  <w:shd w:val="clear" w:color="auto" w:fill="auto"/>
                  <w:noWrap/>
                  <w:vAlign w:val="center"/>
                </w:tcPr>
                <w:p w14:paraId="3002FEF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479FB46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091CCB3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51.02</w:t>
                  </w:r>
                </w:p>
              </w:tc>
              <w:tc>
                <w:tcPr>
                  <w:tcW w:w="885" w:type="dxa"/>
                  <w:tcBorders>
                    <w:tl2br w:val="nil"/>
                    <w:tr2bl w:val="nil"/>
                  </w:tcBorders>
                  <w:shd w:val="clear" w:color="auto" w:fill="auto"/>
                  <w:noWrap/>
                  <w:vAlign w:val="center"/>
                </w:tcPr>
                <w:p w14:paraId="72E39A3D">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r w14:paraId="3A2F57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400" w:type="dxa"/>
                  <w:tcBorders>
                    <w:tl2br w:val="nil"/>
                    <w:tr2bl w:val="nil"/>
                  </w:tcBorders>
                  <w:shd w:val="clear" w:color="auto" w:fill="auto"/>
                  <w:vAlign w:val="center"/>
                </w:tcPr>
                <w:p w14:paraId="5C356755">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w:t>
                  </w:r>
                </w:p>
              </w:tc>
              <w:tc>
                <w:tcPr>
                  <w:tcW w:w="713" w:type="dxa"/>
                  <w:vMerge w:val="continue"/>
                  <w:tcBorders>
                    <w:tl2br w:val="nil"/>
                    <w:tr2bl w:val="nil"/>
                  </w:tcBorders>
                  <w:shd w:val="clear" w:color="auto" w:fill="auto"/>
                  <w:noWrap/>
                  <w:vAlign w:val="center"/>
                </w:tcPr>
                <w:p w14:paraId="5687A94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lang w:val="en-US" w:eastAsia="zh-CN"/>
                      <w14:textFill>
                        <w14:solidFill>
                          <w14:schemeClr w14:val="tx1"/>
                        </w14:solidFill>
                      </w14:textFill>
                    </w:rPr>
                  </w:pPr>
                </w:p>
              </w:tc>
              <w:tc>
                <w:tcPr>
                  <w:tcW w:w="1288" w:type="dxa"/>
                  <w:tcBorders>
                    <w:tl2br w:val="nil"/>
                    <w:tr2bl w:val="nil"/>
                  </w:tcBorders>
                  <w:shd w:val="clear" w:color="auto" w:fill="auto"/>
                  <w:noWrap/>
                  <w:vAlign w:val="center"/>
                </w:tcPr>
                <w:p w14:paraId="4C026EA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电动给水泵</w:t>
                  </w:r>
                </w:p>
              </w:tc>
              <w:tc>
                <w:tcPr>
                  <w:tcW w:w="627" w:type="dxa"/>
                  <w:tcBorders>
                    <w:tl2br w:val="nil"/>
                    <w:tr2bl w:val="nil"/>
                  </w:tcBorders>
                  <w:shd w:val="clear" w:color="auto" w:fill="auto"/>
                  <w:noWrap/>
                  <w:vAlign w:val="center"/>
                </w:tcPr>
                <w:p w14:paraId="4F00EBC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1</w:t>
                  </w:r>
                </w:p>
              </w:tc>
              <w:tc>
                <w:tcPr>
                  <w:tcW w:w="862" w:type="dxa"/>
                  <w:tcBorders>
                    <w:tl2br w:val="nil"/>
                    <w:tr2bl w:val="nil"/>
                  </w:tcBorders>
                  <w:shd w:val="clear" w:color="auto" w:fill="auto"/>
                  <w:noWrap/>
                  <w:vAlign w:val="center"/>
                </w:tcPr>
                <w:p w14:paraId="1B93567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75</w:t>
                  </w:r>
                </w:p>
              </w:tc>
              <w:tc>
                <w:tcPr>
                  <w:tcW w:w="988" w:type="dxa"/>
                  <w:vMerge w:val="continue"/>
                  <w:tcBorders>
                    <w:tl2br w:val="nil"/>
                    <w:tr2bl w:val="nil"/>
                  </w:tcBorders>
                  <w:shd w:val="clear" w:color="auto" w:fill="auto"/>
                  <w:vAlign w:val="center"/>
                </w:tcPr>
                <w:p w14:paraId="70CB95E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noWrap/>
                  <w:vAlign w:val="center"/>
                </w:tcPr>
                <w:p w14:paraId="23326EC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709" w:type="dxa"/>
                  <w:tcBorders>
                    <w:tl2br w:val="nil"/>
                    <w:tr2bl w:val="nil"/>
                  </w:tcBorders>
                  <w:shd w:val="clear" w:color="auto" w:fill="auto"/>
                  <w:noWrap/>
                  <w:vAlign w:val="center"/>
                </w:tcPr>
                <w:p w14:paraId="6DF8289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-10</w:t>
                  </w:r>
                </w:p>
              </w:tc>
              <w:tc>
                <w:tcPr>
                  <w:tcW w:w="695" w:type="dxa"/>
                  <w:tcBorders>
                    <w:tl2br w:val="nil"/>
                    <w:tr2bl w:val="nil"/>
                  </w:tcBorders>
                  <w:shd w:val="clear" w:color="auto" w:fill="auto"/>
                  <w:noWrap/>
                  <w:vAlign w:val="center"/>
                </w:tcPr>
                <w:p w14:paraId="521A1AA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733DEB2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3</w:t>
                  </w:r>
                </w:p>
              </w:tc>
              <w:tc>
                <w:tcPr>
                  <w:tcW w:w="944" w:type="dxa"/>
                  <w:tcBorders>
                    <w:tl2br w:val="nil"/>
                    <w:tr2bl w:val="nil"/>
                  </w:tcBorders>
                  <w:shd w:val="clear" w:color="auto" w:fill="auto"/>
                  <w:noWrap/>
                  <w:vAlign w:val="center"/>
                </w:tcPr>
                <w:p w14:paraId="5948E31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65.46</w:t>
                  </w:r>
                </w:p>
              </w:tc>
              <w:tc>
                <w:tcPr>
                  <w:tcW w:w="712" w:type="dxa"/>
                  <w:tcBorders>
                    <w:tl2br w:val="nil"/>
                    <w:tr2bl w:val="nil"/>
                  </w:tcBorders>
                  <w:shd w:val="clear" w:color="auto" w:fill="auto"/>
                  <w:noWrap/>
                  <w:vAlign w:val="center"/>
                </w:tcPr>
                <w:p w14:paraId="36C28F8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41AC4BF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10CE94B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45.46</w:t>
                  </w:r>
                </w:p>
              </w:tc>
              <w:tc>
                <w:tcPr>
                  <w:tcW w:w="885" w:type="dxa"/>
                  <w:tcBorders>
                    <w:tl2br w:val="nil"/>
                    <w:tr2bl w:val="nil"/>
                  </w:tcBorders>
                  <w:shd w:val="clear" w:color="auto" w:fill="auto"/>
                  <w:noWrap/>
                  <w:vAlign w:val="center"/>
                </w:tcPr>
                <w:p w14:paraId="0EC219F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r w14:paraId="6D1008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00" w:type="dxa"/>
                  <w:tcBorders>
                    <w:tl2br w:val="nil"/>
                    <w:tr2bl w:val="nil"/>
                  </w:tcBorders>
                  <w:shd w:val="clear" w:color="auto" w:fill="auto"/>
                  <w:vAlign w:val="center"/>
                </w:tcPr>
                <w:p w14:paraId="6884ADD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w:t>
                  </w:r>
                </w:p>
              </w:tc>
              <w:tc>
                <w:tcPr>
                  <w:tcW w:w="713" w:type="dxa"/>
                  <w:vMerge w:val="continue"/>
                  <w:tcBorders>
                    <w:tl2br w:val="nil"/>
                    <w:tr2bl w:val="nil"/>
                  </w:tcBorders>
                  <w:shd w:val="clear" w:color="auto" w:fill="auto"/>
                  <w:noWrap/>
                  <w:vAlign w:val="center"/>
                </w:tcPr>
                <w:p w14:paraId="5C47F06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1288" w:type="dxa"/>
                  <w:tcBorders>
                    <w:tl2br w:val="nil"/>
                    <w:tr2bl w:val="nil"/>
                  </w:tcBorders>
                  <w:shd w:val="clear" w:color="auto" w:fill="auto"/>
                  <w:noWrap/>
                  <w:vAlign w:val="center"/>
                </w:tcPr>
                <w:p w14:paraId="058825E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给水前置泵</w:t>
                  </w:r>
                </w:p>
              </w:tc>
              <w:tc>
                <w:tcPr>
                  <w:tcW w:w="627" w:type="dxa"/>
                  <w:tcBorders>
                    <w:tl2br w:val="nil"/>
                    <w:tr2bl w:val="nil"/>
                  </w:tcBorders>
                  <w:shd w:val="clear" w:color="auto" w:fill="auto"/>
                  <w:noWrap/>
                  <w:vAlign w:val="center"/>
                </w:tcPr>
                <w:p w14:paraId="124DF68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1</w:t>
                  </w:r>
                </w:p>
              </w:tc>
              <w:tc>
                <w:tcPr>
                  <w:tcW w:w="862" w:type="dxa"/>
                  <w:tcBorders>
                    <w:tl2br w:val="nil"/>
                    <w:tr2bl w:val="nil"/>
                  </w:tcBorders>
                  <w:shd w:val="clear" w:color="auto" w:fill="auto"/>
                  <w:noWrap/>
                  <w:vAlign w:val="center"/>
                </w:tcPr>
                <w:p w14:paraId="5ACD19A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75</w:t>
                  </w:r>
                </w:p>
              </w:tc>
              <w:tc>
                <w:tcPr>
                  <w:tcW w:w="988" w:type="dxa"/>
                  <w:vMerge w:val="continue"/>
                  <w:tcBorders>
                    <w:tl2br w:val="nil"/>
                    <w:tr2bl w:val="nil"/>
                  </w:tcBorders>
                  <w:shd w:val="clear" w:color="auto" w:fill="auto"/>
                  <w:vAlign w:val="center"/>
                </w:tcPr>
                <w:p w14:paraId="3466D9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noWrap/>
                  <w:vAlign w:val="center"/>
                </w:tcPr>
                <w:p w14:paraId="79E6DE4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709" w:type="dxa"/>
                  <w:tcBorders>
                    <w:tl2br w:val="nil"/>
                    <w:tr2bl w:val="nil"/>
                  </w:tcBorders>
                  <w:shd w:val="clear" w:color="auto" w:fill="auto"/>
                  <w:noWrap/>
                  <w:vAlign w:val="center"/>
                </w:tcPr>
                <w:p w14:paraId="732A512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-9</w:t>
                  </w:r>
                </w:p>
              </w:tc>
              <w:tc>
                <w:tcPr>
                  <w:tcW w:w="695" w:type="dxa"/>
                  <w:tcBorders>
                    <w:tl2br w:val="nil"/>
                    <w:tr2bl w:val="nil"/>
                  </w:tcBorders>
                  <w:shd w:val="clear" w:color="auto" w:fill="auto"/>
                  <w:noWrap/>
                  <w:vAlign w:val="center"/>
                </w:tcPr>
                <w:p w14:paraId="385E18A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67DC496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4</w:t>
                  </w:r>
                </w:p>
              </w:tc>
              <w:tc>
                <w:tcPr>
                  <w:tcW w:w="944" w:type="dxa"/>
                  <w:tcBorders>
                    <w:tl2br w:val="nil"/>
                    <w:tr2bl w:val="nil"/>
                  </w:tcBorders>
                  <w:shd w:val="clear" w:color="auto" w:fill="auto"/>
                  <w:noWrap/>
                  <w:vAlign w:val="center"/>
                </w:tcPr>
                <w:p w14:paraId="707651A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62.96</w:t>
                  </w:r>
                </w:p>
              </w:tc>
              <w:tc>
                <w:tcPr>
                  <w:tcW w:w="712" w:type="dxa"/>
                  <w:tcBorders>
                    <w:tl2br w:val="nil"/>
                    <w:tr2bl w:val="nil"/>
                  </w:tcBorders>
                  <w:shd w:val="clear" w:color="auto" w:fill="auto"/>
                  <w:noWrap/>
                  <w:vAlign w:val="center"/>
                </w:tcPr>
                <w:p w14:paraId="2192698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76ED9BF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074F5AD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42.96</w:t>
                  </w:r>
                </w:p>
              </w:tc>
              <w:tc>
                <w:tcPr>
                  <w:tcW w:w="885" w:type="dxa"/>
                  <w:tcBorders>
                    <w:tl2br w:val="nil"/>
                    <w:tr2bl w:val="nil"/>
                  </w:tcBorders>
                  <w:shd w:val="clear" w:color="auto" w:fill="auto"/>
                  <w:noWrap/>
                  <w:vAlign w:val="center"/>
                </w:tcPr>
                <w:p w14:paraId="6989008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r w14:paraId="4675D5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00" w:type="dxa"/>
                  <w:tcBorders>
                    <w:tl2br w:val="nil"/>
                    <w:tr2bl w:val="nil"/>
                  </w:tcBorders>
                  <w:shd w:val="clear" w:color="auto" w:fill="auto"/>
                  <w:vAlign w:val="center"/>
                </w:tcPr>
                <w:p w14:paraId="31E6189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w:t>
                  </w:r>
                </w:p>
              </w:tc>
              <w:tc>
                <w:tcPr>
                  <w:tcW w:w="713" w:type="dxa"/>
                  <w:vMerge w:val="continue"/>
                  <w:tcBorders>
                    <w:tl2br w:val="nil"/>
                    <w:tr2bl w:val="nil"/>
                  </w:tcBorders>
                  <w:shd w:val="clear" w:color="auto" w:fill="auto"/>
                  <w:noWrap/>
                  <w:vAlign w:val="center"/>
                </w:tcPr>
                <w:p w14:paraId="0BCD3C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1288" w:type="dxa"/>
                  <w:tcBorders>
                    <w:tl2br w:val="nil"/>
                    <w:tr2bl w:val="nil"/>
                  </w:tcBorders>
                  <w:shd w:val="clear" w:color="auto" w:fill="auto"/>
                  <w:noWrap/>
                  <w:vAlign w:val="center"/>
                </w:tcPr>
                <w:p w14:paraId="70FA3D3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除盐水增压泵</w:t>
                  </w:r>
                </w:p>
              </w:tc>
              <w:tc>
                <w:tcPr>
                  <w:tcW w:w="627" w:type="dxa"/>
                  <w:tcBorders>
                    <w:tl2br w:val="nil"/>
                    <w:tr2bl w:val="nil"/>
                  </w:tcBorders>
                  <w:shd w:val="clear" w:color="auto" w:fill="auto"/>
                  <w:noWrap/>
                  <w:vAlign w:val="center"/>
                </w:tcPr>
                <w:p w14:paraId="4E66094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1</w:t>
                  </w:r>
                </w:p>
              </w:tc>
              <w:tc>
                <w:tcPr>
                  <w:tcW w:w="862" w:type="dxa"/>
                  <w:tcBorders>
                    <w:tl2br w:val="nil"/>
                    <w:tr2bl w:val="nil"/>
                  </w:tcBorders>
                  <w:shd w:val="clear" w:color="auto" w:fill="auto"/>
                  <w:noWrap/>
                  <w:vAlign w:val="center"/>
                </w:tcPr>
                <w:p w14:paraId="3671D3C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75</w:t>
                  </w:r>
                </w:p>
              </w:tc>
              <w:tc>
                <w:tcPr>
                  <w:tcW w:w="988" w:type="dxa"/>
                  <w:vMerge w:val="continue"/>
                  <w:tcBorders>
                    <w:tl2br w:val="nil"/>
                    <w:tr2bl w:val="nil"/>
                  </w:tcBorders>
                  <w:shd w:val="clear" w:color="auto" w:fill="auto"/>
                  <w:vAlign w:val="center"/>
                </w:tcPr>
                <w:p w14:paraId="1D2753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noWrap/>
                  <w:vAlign w:val="center"/>
                </w:tcPr>
                <w:p w14:paraId="3003B49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5</w:t>
                  </w:r>
                </w:p>
              </w:tc>
              <w:tc>
                <w:tcPr>
                  <w:tcW w:w="709" w:type="dxa"/>
                  <w:tcBorders>
                    <w:tl2br w:val="nil"/>
                    <w:tr2bl w:val="nil"/>
                  </w:tcBorders>
                  <w:shd w:val="clear" w:color="auto" w:fill="auto"/>
                  <w:noWrap/>
                  <w:vAlign w:val="center"/>
                </w:tcPr>
                <w:p w14:paraId="44AE088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14</w:t>
                  </w:r>
                </w:p>
              </w:tc>
              <w:tc>
                <w:tcPr>
                  <w:tcW w:w="695" w:type="dxa"/>
                  <w:tcBorders>
                    <w:tl2br w:val="nil"/>
                    <w:tr2bl w:val="nil"/>
                  </w:tcBorders>
                  <w:shd w:val="clear" w:color="auto" w:fill="auto"/>
                  <w:noWrap/>
                  <w:vAlign w:val="center"/>
                </w:tcPr>
                <w:p w14:paraId="55573B6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317DD42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44" w:type="dxa"/>
                  <w:tcBorders>
                    <w:tl2br w:val="nil"/>
                    <w:tr2bl w:val="nil"/>
                  </w:tcBorders>
                  <w:shd w:val="clear" w:color="auto" w:fill="auto"/>
                  <w:noWrap/>
                  <w:vAlign w:val="center"/>
                </w:tcPr>
                <w:p w14:paraId="17712C7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75.00</w:t>
                  </w:r>
                </w:p>
              </w:tc>
              <w:tc>
                <w:tcPr>
                  <w:tcW w:w="712" w:type="dxa"/>
                  <w:tcBorders>
                    <w:tl2br w:val="nil"/>
                    <w:tr2bl w:val="nil"/>
                  </w:tcBorders>
                  <w:shd w:val="clear" w:color="auto" w:fill="auto"/>
                  <w:noWrap/>
                  <w:vAlign w:val="center"/>
                </w:tcPr>
                <w:p w14:paraId="3EC202D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6FF9478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3F76FE1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55.00</w:t>
                  </w:r>
                </w:p>
              </w:tc>
              <w:tc>
                <w:tcPr>
                  <w:tcW w:w="885" w:type="dxa"/>
                  <w:tcBorders>
                    <w:tl2br w:val="nil"/>
                    <w:tr2bl w:val="nil"/>
                  </w:tcBorders>
                  <w:shd w:val="clear" w:color="auto" w:fill="auto"/>
                  <w:noWrap/>
                  <w:vAlign w:val="center"/>
                </w:tcPr>
                <w:p w14:paraId="6786B8B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r w14:paraId="7E6BD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5" w:hRule="atLeast"/>
                <w:jc w:val="center"/>
              </w:trPr>
              <w:tc>
                <w:tcPr>
                  <w:tcW w:w="400" w:type="dxa"/>
                  <w:tcBorders>
                    <w:tl2br w:val="nil"/>
                    <w:tr2bl w:val="nil"/>
                  </w:tcBorders>
                  <w:shd w:val="clear" w:color="auto" w:fill="auto"/>
                  <w:vAlign w:val="center"/>
                </w:tcPr>
                <w:p w14:paraId="21A24BF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w:t>
                  </w:r>
                </w:p>
              </w:tc>
              <w:tc>
                <w:tcPr>
                  <w:tcW w:w="713" w:type="dxa"/>
                  <w:vMerge w:val="continue"/>
                  <w:tcBorders>
                    <w:tl2br w:val="nil"/>
                    <w:tr2bl w:val="nil"/>
                  </w:tcBorders>
                  <w:shd w:val="clear" w:color="auto" w:fill="auto"/>
                  <w:noWrap/>
                  <w:vAlign w:val="center"/>
                </w:tcPr>
                <w:p w14:paraId="52BEEEF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1288" w:type="dxa"/>
                  <w:tcBorders>
                    <w:tl2br w:val="nil"/>
                    <w:tr2bl w:val="nil"/>
                  </w:tcBorders>
                  <w:shd w:val="clear" w:color="auto" w:fill="auto"/>
                  <w:noWrap/>
                  <w:vAlign w:val="center"/>
                </w:tcPr>
                <w:p w14:paraId="0600B89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排水泵</w:t>
                  </w:r>
                </w:p>
              </w:tc>
              <w:tc>
                <w:tcPr>
                  <w:tcW w:w="627" w:type="dxa"/>
                  <w:tcBorders>
                    <w:tl2br w:val="nil"/>
                    <w:tr2bl w:val="nil"/>
                  </w:tcBorders>
                  <w:shd w:val="clear" w:color="auto" w:fill="auto"/>
                  <w:noWrap/>
                  <w:vAlign w:val="center"/>
                </w:tcPr>
                <w:p w14:paraId="34C915A5">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1</w:t>
                  </w:r>
                </w:p>
              </w:tc>
              <w:tc>
                <w:tcPr>
                  <w:tcW w:w="862" w:type="dxa"/>
                  <w:tcBorders>
                    <w:tl2br w:val="nil"/>
                    <w:tr2bl w:val="nil"/>
                  </w:tcBorders>
                  <w:shd w:val="clear" w:color="auto" w:fill="auto"/>
                  <w:noWrap/>
                  <w:vAlign w:val="center"/>
                </w:tcPr>
                <w:p w14:paraId="734E709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85</w:t>
                  </w:r>
                </w:p>
              </w:tc>
              <w:tc>
                <w:tcPr>
                  <w:tcW w:w="988" w:type="dxa"/>
                  <w:vMerge w:val="continue"/>
                  <w:tcBorders>
                    <w:tl2br w:val="nil"/>
                    <w:tr2bl w:val="nil"/>
                  </w:tcBorders>
                  <w:shd w:val="clear" w:color="auto" w:fill="auto"/>
                  <w:vAlign w:val="center"/>
                </w:tcPr>
                <w:p w14:paraId="1624755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noWrap/>
                  <w:vAlign w:val="center"/>
                </w:tcPr>
                <w:p w14:paraId="742DA73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11</w:t>
                  </w:r>
                </w:p>
              </w:tc>
              <w:tc>
                <w:tcPr>
                  <w:tcW w:w="709" w:type="dxa"/>
                  <w:tcBorders>
                    <w:tl2br w:val="nil"/>
                    <w:tr2bl w:val="nil"/>
                  </w:tcBorders>
                  <w:shd w:val="clear" w:color="auto" w:fill="auto"/>
                  <w:noWrap/>
                  <w:vAlign w:val="center"/>
                </w:tcPr>
                <w:p w14:paraId="1814BCB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-10</w:t>
                  </w:r>
                </w:p>
              </w:tc>
              <w:tc>
                <w:tcPr>
                  <w:tcW w:w="695" w:type="dxa"/>
                  <w:tcBorders>
                    <w:tl2br w:val="nil"/>
                    <w:tr2bl w:val="nil"/>
                  </w:tcBorders>
                  <w:shd w:val="clear" w:color="auto" w:fill="auto"/>
                  <w:noWrap/>
                  <w:vAlign w:val="center"/>
                </w:tcPr>
                <w:p w14:paraId="79456AA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592101F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44" w:type="dxa"/>
                  <w:tcBorders>
                    <w:tl2br w:val="nil"/>
                    <w:tr2bl w:val="nil"/>
                  </w:tcBorders>
                  <w:shd w:val="clear" w:color="auto" w:fill="auto"/>
                  <w:noWrap/>
                  <w:vAlign w:val="center"/>
                </w:tcPr>
                <w:p w14:paraId="31740D7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85.00</w:t>
                  </w:r>
                </w:p>
              </w:tc>
              <w:tc>
                <w:tcPr>
                  <w:tcW w:w="712" w:type="dxa"/>
                  <w:tcBorders>
                    <w:tl2br w:val="nil"/>
                    <w:tr2bl w:val="nil"/>
                  </w:tcBorders>
                  <w:shd w:val="clear" w:color="auto" w:fill="auto"/>
                  <w:noWrap/>
                  <w:vAlign w:val="center"/>
                </w:tcPr>
                <w:p w14:paraId="6730469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2E17CAC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4119C50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65.00</w:t>
                  </w:r>
                </w:p>
              </w:tc>
              <w:tc>
                <w:tcPr>
                  <w:tcW w:w="885" w:type="dxa"/>
                  <w:tcBorders>
                    <w:tl2br w:val="nil"/>
                    <w:tr2bl w:val="nil"/>
                  </w:tcBorders>
                  <w:shd w:val="clear" w:color="auto" w:fill="auto"/>
                  <w:noWrap/>
                  <w:vAlign w:val="center"/>
                </w:tcPr>
                <w:p w14:paraId="4017A54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r w14:paraId="63BF19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400" w:type="dxa"/>
                  <w:tcBorders>
                    <w:tl2br w:val="nil"/>
                    <w:tr2bl w:val="nil"/>
                  </w:tcBorders>
                  <w:shd w:val="clear" w:color="auto" w:fill="auto"/>
                  <w:vAlign w:val="center"/>
                </w:tcPr>
                <w:p w14:paraId="37A79EC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w:t>
                  </w:r>
                </w:p>
              </w:tc>
              <w:tc>
                <w:tcPr>
                  <w:tcW w:w="713" w:type="dxa"/>
                  <w:vMerge w:val="continue"/>
                  <w:tcBorders>
                    <w:tl2br w:val="nil"/>
                    <w:tr2bl w:val="nil"/>
                  </w:tcBorders>
                  <w:shd w:val="clear" w:color="auto" w:fill="auto"/>
                  <w:noWrap/>
                  <w:vAlign w:val="center"/>
                </w:tcPr>
                <w:p w14:paraId="4E46806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1288" w:type="dxa"/>
                  <w:tcBorders>
                    <w:tl2br w:val="nil"/>
                    <w:tr2bl w:val="nil"/>
                  </w:tcBorders>
                  <w:shd w:val="clear" w:color="auto" w:fill="auto"/>
                  <w:noWrap/>
                  <w:vAlign w:val="center"/>
                </w:tcPr>
                <w:p w14:paraId="3E35836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送风机</w:t>
                  </w:r>
                </w:p>
              </w:tc>
              <w:tc>
                <w:tcPr>
                  <w:tcW w:w="627" w:type="dxa"/>
                  <w:tcBorders>
                    <w:tl2br w:val="nil"/>
                    <w:tr2bl w:val="nil"/>
                  </w:tcBorders>
                  <w:shd w:val="clear" w:color="auto" w:fill="auto"/>
                  <w:noWrap/>
                  <w:vAlign w:val="center"/>
                </w:tcPr>
                <w:p w14:paraId="4700DCD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1</w:t>
                  </w:r>
                </w:p>
              </w:tc>
              <w:tc>
                <w:tcPr>
                  <w:tcW w:w="862" w:type="dxa"/>
                  <w:tcBorders>
                    <w:tl2br w:val="nil"/>
                    <w:tr2bl w:val="nil"/>
                  </w:tcBorders>
                  <w:shd w:val="clear" w:color="auto" w:fill="auto"/>
                  <w:noWrap/>
                  <w:vAlign w:val="center"/>
                </w:tcPr>
                <w:p w14:paraId="753E6D7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sz w:val="18"/>
                      <w:szCs w:val="18"/>
                      <w:highlight w:val="none"/>
                      <w:u w:val="none"/>
                      <w:lang w:val="en-US" w:eastAsia="zh-CN"/>
                      <w14:textFill>
                        <w14:solidFill>
                          <w14:schemeClr w14:val="tx1"/>
                        </w14:solidFill>
                      </w14:textFill>
                    </w:rPr>
                    <w:t>85</w:t>
                  </w:r>
                </w:p>
              </w:tc>
              <w:tc>
                <w:tcPr>
                  <w:tcW w:w="988" w:type="dxa"/>
                  <w:vMerge w:val="continue"/>
                  <w:tcBorders>
                    <w:tl2br w:val="nil"/>
                    <w:tr2bl w:val="nil"/>
                  </w:tcBorders>
                  <w:shd w:val="clear" w:color="auto" w:fill="auto"/>
                  <w:vAlign w:val="center"/>
                </w:tcPr>
                <w:p w14:paraId="450B373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p>
              </w:tc>
              <w:tc>
                <w:tcPr>
                  <w:tcW w:w="740" w:type="dxa"/>
                  <w:tcBorders>
                    <w:tl2br w:val="nil"/>
                    <w:tr2bl w:val="nil"/>
                  </w:tcBorders>
                  <w:shd w:val="clear" w:color="auto" w:fill="auto"/>
                  <w:noWrap/>
                  <w:vAlign w:val="center"/>
                </w:tcPr>
                <w:p w14:paraId="5DC3E34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8</w:t>
                  </w:r>
                </w:p>
              </w:tc>
              <w:tc>
                <w:tcPr>
                  <w:tcW w:w="709" w:type="dxa"/>
                  <w:tcBorders>
                    <w:tl2br w:val="nil"/>
                    <w:tr2bl w:val="nil"/>
                  </w:tcBorders>
                  <w:shd w:val="clear" w:color="auto" w:fill="auto"/>
                  <w:noWrap/>
                  <w:vAlign w:val="center"/>
                </w:tcPr>
                <w:p w14:paraId="1B7F68D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11</w:t>
                  </w:r>
                </w:p>
              </w:tc>
              <w:tc>
                <w:tcPr>
                  <w:tcW w:w="695" w:type="dxa"/>
                  <w:tcBorders>
                    <w:tl2br w:val="nil"/>
                    <w:tr2bl w:val="nil"/>
                  </w:tcBorders>
                  <w:shd w:val="clear" w:color="auto" w:fill="auto"/>
                  <w:noWrap/>
                  <w:vAlign w:val="center"/>
                </w:tcPr>
                <w:p w14:paraId="3CA6513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c>
                <w:tcPr>
                  <w:tcW w:w="976" w:type="dxa"/>
                  <w:tcBorders>
                    <w:tl2br w:val="nil"/>
                    <w:tr2bl w:val="nil"/>
                  </w:tcBorders>
                  <w:shd w:val="clear" w:color="auto" w:fill="auto"/>
                  <w:noWrap/>
                  <w:vAlign w:val="center"/>
                </w:tcPr>
                <w:p w14:paraId="49FBD0E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3</w:t>
                  </w:r>
                </w:p>
              </w:tc>
              <w:tc>
                <w:tcPr>
                  <w:tcW w:w="944" w:type="dxa"/>
                  <w:tcBorders>
                    <w:tl2br w:val="nil"/>
                    <w:tr2bl w:val="nil"/>
                  </w:tcBorders>
                  <w:shd w:val="clear" w:color="auto" w:fill="auto"/>
                  <w:noWrap/>
                  <w:vAlign w:val="center"/>
                </w:tcPr>
                <w:p w14:paraId="400181A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75.46</w:t>
                  </w:r>
                </w:p>
              </w:tc>
              <w:tc>
                <w:tcPr>
                  <w:tcW w:w="712" w:type="dxa"/>
                  <w:tcBorders>
                    <w:tl2br w:val="nil"/>
                    <w:tr2bl w:val="nil"/>
                  </w:tcBorders>
                  <w:shd w:val="clear" w:color="auto" w:fill="auto"/>
                  <w:noWrap/>
                  <w:vAlign w:val="center"/>
                </w:tcPr>
                <w:p w14:paraId="0DA37D6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24h</w:t>
                  </w:r>
                </w:p>
              </w:tc>
              <w:tc>
                <w:tcPr>
                  <w:tcW w:w="1165" w:type="dxa"/>
                  <w:tcBorders>
                    <w:tl2br w:val="nil"/>
                    <w:tr2bl w:val="nil"/>
                  </w:tcBorders>
                  <w:shd w:val="clear" w:color="auto" w:fill="auto"/>
                  <w:noWrap/>
                  <w:vAlign w:val="center"/>
                </w:tcPr>
                <w:p w14:paraId="4254227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w:t>
                  </w:r>
                </w:p>
              </w:tc>
              <w:tc>
                <w:tcPr>
                  <w:tcW w:w="779" w:type="dxa"/>
                  <w:tcBorders>
                    <w:tl2br w:val="nil"/>
                    <w:tr2bl w:val="nil"/>
                  </w:tcBorders>
                  <w:shd w:val="clear" w:color="auto" w:fill="auto"/>
                  <w:noWrap/>
                  <w:vAlign w:val="center"/>
                </w:tcPr>
                <w:p w14:paraId="0B21FE7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55.46</w:t>
                  </w:r>
                </w:p>
              </w:tc>
              <w:tc>
                <w:tcPr>
                  <w:tcW w:w="885" w:type="dxa"/>
                  <w:tcBorders>
                    <w:tl2br w:val="nil"/>
                    <w:tr2bl w:val="nil"/>
                  </w:tcBorders>
                  <w:shd w:val="clear" w:color="auto" w:fill="auto"/>
                  <w:noWrap/>
                  <w:vAlign w:val="center"/>
                </w:tcPr>
                <w:p w14:paraId="37B61BD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cs="Times New Roman"/>
                      <w:i w:val="0"/>
                      <w:iCs w:val="0"/>
                      <w:color w:val="000000" w:themeColor="text1"/>
                      <w:kern w:val="2"/>
                      <w:sz w:val="18"/>
                      <w:szCs w:val="18"/>
                      <w:highlight w:val="none"/>
                      <w:u w:val="none"/>
                      <w:lang w:val="en-US" w:eastAsia="zh-CN" w:bidi="ar-SA"/>
                      <w14:textFill>
                        <w14:solidFill>
                          <w14:schemeClr w14:val="tx1"/>
                        </w14:solidFill>
                      </w14:textFill>
                    </w:rPr>
                    <w:t>1</w:t>
                  </w:r>
                </w:p>
              </w:tc>
            </w:tr>
          </w:tbl>
          <w:p w14:paraId="15643EF5">
            <w:pPr>
              <w:adjustRightInd w:val="0"/>
              <w:snapToGrid w:val="0"/>
              <w:rPr>
                <w:rFonts w:hint="default" w:ascii="Times New Roman" w:hAnsi="Times New Roman" w:eastAsia="宋体" w:cs="Times New Roman"/>
                <w:b/>
                <w:bCs w:val="0"/>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注：</w:t>
            </w:r>
            <w:r>
              <w:rPr>
                <w:rFonts w:hint="default" w:ascii="Times New Roman" w:hAnsi="Times New Roman" w:eastAsia="宋体" w:cs="Times New Roman"/>
                <w:b/>
                <w:bCs w:val="0"/>
                <w:color w:val="000000" w:themeColor="text1"/>
                <w:sz w:val="18"/>
                <w:szCs w:val="18"/>
                <w:highlight w:val="none"/>
                <w14:textFill>
                  <w14:solidFill>
                    <w14:schemeClr w14:val="tx1"/>
                  </w14:solidFill>
                </w14:textFill>
              </w:rPr>
              <w:t>以本期项目中间点作为坐标原点，东向为X轴正轴，北向为Y轴正轴。</w:t>
            </w:r>
          </w:p>
          <w:p w14:paraId="548FEA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val="0"/>
                <w:bCs/>
                <w:color w:val="000000" w:themeColor="text1"/>
                <w:sz w:val="21"/>
                <w:szCs w:val="21"/>
                <w:highlight w:val="none"/>
                <w:lang w:val="en-US" w:eastAsia="zh-CN"/>
                <w14:textFill>
                  <w14:solidFill>
                    <w14:schemeClr w14:val="tx1"/>
                  </w14:solidFill>
                </w14:textFill>
              </w:rPr>
            </w:pPr>
            <w:r>
              <w:rPr>
                <w:rFonts w:hint="eastAsia"/>
                <w:b w:val="0"/>
                <w:bCs/>
                <w:color w:val="000000" w:themeColor="text1"/>
                <w:sz w:val="21"/>
                <w:szCs w:val="21"/>
                <w:highlight w:val="none"/>
                <w14:textFill>
                  <w14:solidFill>
                    <w14:schemeClr w14:val="tx1"/>
                  </w14:solidFill>
                </w14:textFill>
              </w:rPr>
              <w:t>表4-</w:t>
            </w:r>
            <w:r>
              <w:rPr>
                <w:rFonts w:hint="eastAsia"/>
                <w:b w:val="0"/>
                <w:bCs/>
                <w:color w:val="000000" w:themeColor="text1"/>
                <w:sz w:val="21"/>
                <w:szCs w:val="21"/>
                <w:highlight w:val="none"/>
                <w:lang w:val="en-US" w:eastAsia="zh-CN"/>
                <w14:textFill>
                  <w14:solidFill>
                    <w14:schemeClr w14:val="tx1"/>
                  </w14:solidFill>
                </w14:textFill>
              </w:rPr>
              <w:t>11 本项目声环境保护目标调查表</w:t>
            </w:r>
          </w:p>
          <w:tbl>
            <w:tblPr>
              <w:tblStyle w:val="36"/>
              <w:tblW w:w="4982"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46"/>
              <w:gridCol w:w="2083"/>
              <w:gridCol w:w="1003"/>
              <w:gridCol w:w="961"/>
              <w:gridCol w:w="941"/>
              <w:gridCol w:w="1832"/>
              <w:gridCol w:w="1324"/>
              <w:gridCol w:w="3548"/>
            </w:tblGrid>
            <w:tr w14:paraId="4DB2B5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691" w:type="dxa"/>
                  <w:vMerge w:val="restart"/>
                  <w:tcBorders>
                    <w:tl2br w:val="nil"/>
                    <w:tr2bl w:val="nil"/>
                  </w:tcBorders>
                  <w:shd w:val="clear" w:color="auto" w:fill="auto"/>
                  <w:vAlign w:val="center"/>
                </w:tcPr>
                <w:p w14:paraId="314380DA">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序号</w:t>
                  </w:r>
                </w:p>
              </w:tc>
              <w:tc>
                <w:tcPr>
                  <w:tcW w:w="1928" w:type="dxa"/>
                  <w:vMerge w:val="restart"/>
                  <w:tcBorders>
                    <w:tl2br w:val="nil"/>
                    <w:tr2bl w:val="nil"/>
                  </w:tcBorders>
                  <w:shd w:val="clear" w:color="auto" w:fill="auto"/>
                  <w:vAlign w:val="center"/>
                </w:tcPr>
                <w:p w14:paraId="080B59AD">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lang w:val="en-US"/>
                      <w14:textFill>
                        <w14:solidFill>
                          <w14:schemeClr w14:val="tx1"/>
                        </w14:solidFill>
                      </w14:textFill>
                    </w:rPr>
                  </w:pPr>
                  <w:r>
                    <w:rPr>
                      <w:rFonts w:hint="eastAsia"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声环境保护目标</w:t>
                  </w:r>
                </w:p>
              </w:tc>
              <w:tc>
                <w:tcPr>
                  <w:tcW w:w="2688" w:type="dxa"/>
                  <w:gridSpan w:val="3"/>
                  <w:tcBorders>
                    <w:tl2br w:val="nil"/>
                    <w:tr2bl w:val="nil"/>
                  </w:tcBorders>
                  <w:shd w:val="clear" w:color="auto" w:fill="auto"/>
                  <w:vAlign w:val="center"/>
                </w:tcPr>
                <w:p w14:paraId="7FBCA1AC">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空间相对位置/m</w:t>
                  </w:r>
                </w:p>
              </w:tc>
              <w:tc>
                <w:tcPr>
                  <w:tcW w:w="1696" w:type="dxa"/>
                  <w:vMerge w:val="restart"/>
                  <w:tcBorders>
                    <w:tl2br w:val="nil"/>
                    <w:tr2bl w:val="nil"/>
                  </w:tcBorders>
                  <w:shd w:val="clear" w:color="auto" w:fill="auto"/>
                  <w:vAlign w:val="center"/>
                </w:tcPr>
                <w:p w14:paraId="45A1A039">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距室</w:t>
                  </w:r>
                  <w:r>
                    <w:rPr>
                      <w:rFonts w:hint="eastAsia"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厂界最近</w:t>
                  </w:r>
                  <w:r>
                    <w:rPr>
                      <w:rFonts w:hint="default" w:ascii="Times New Roman" w:hAnsi="Times New Roman" w:eastAsia="宋体" w:cs="Times New Roman"/>
                      <w:b/>
                      <w:bCs/>
                      <w:i w:val="0"/>
                      <w:iCs w:val="0"/>
                      <w:color w:val="000000" w:themeColor="text1"/>
                      <w:kern w:val="0"/>
                      <w:sz w:val="18"/>
                      <w:szCs w:val="18"/>
                      <w:highlight w:val="none"/>
                      <w:u w:val="none"/>
                      <w:lang w:val="en-US" w:eastAsia="zh-CN" w:bidi="ar"/>
                      <w14:textFill>
                        <w14:solidFill>
                          <w14:schemeClr w14:val="tx1"/>
                        </w14:solidFill>
                      </w14:textFill>
                    </w:rPr>
                    <w:t>距离/m</w:t>
                  </w:r>
                </w:p>
              </w:tc>
              <w:tc>
                <w:tcPr>
                  <w:tcW w:w="1225" w:type="dxa"/>
                  <w:vMerge w:val="restart"/>
                  <w:tcBorders>
                    <w:tl2br w:val="nil"/>
                    <w:tr2bl w:val="nil"/>
                  </w:tcBorders>
                  <w:shd w:val="clear" w:color="auto" w:fill="auto"/>
                  <w:vAlign w:val="center"/>
                </w:tcPr>
                <w:p w14:paraId="649AD7D1">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eastAsia="宋体" w:cs="Times New Roman"/>
                      <w:b/>
                      <w:bCs/>
                      <w:i w:val="0"/>
                      <w:iCs w:val="0"/>
                      <w:color w:val="000000" w:themeColor="text1"/>
                      <w:sz w:val="18"/>
                      <w:szCs w:val="18"/>
                      <w:highlight w:val="none"/>
                      <w:u w:val="none"/>
                      <w:lang w:val="en-US" w:eastAsia="zh-CN"/>
                      <w14:textFill>
                        <w14:solidFill>
                          <w14:schemeClr w14:val="tx1"/>
                        </w14:solidFill>
                      </w14:textFill>
                    </w:rPr>
                    <w:t>方位</w:t>
                  </w:r>
                </w:p>
              </w:tc>
              <w:tc>
                <w:tcPr>
                  <w:tcW w:w="3284" w:type="dxa"/>
                  <w:vMerge w:val="restart"/>
                  <w:tcBorders>
                    <w:tl2br w:val="nil"/>
                    <w:tr2bl w:val="nil"/>
                  </w:tcBorders>
                  <w:shd w:val="clear" w:color="auto" w:fill="auto"/>
                  <w:vAlign w:val="center"/>
                </w:tcPr>
                <w:p w14:paraId="133B335C">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val="0"/>
                      <w:iCs w:val="0"/>
                      <w:color w:val="000000" w:themeColor="text1"/>
                      <w:sz w:val="18"/>
                      <w:szCs w:val="18"/>
                      <w:highlight w:val="none"/>
                      <w:u w:val="none"/>
                      <w:lang w:val="en-US" w:eastAsia="zh-CN"/>
                      <w14:textFill>
                        <w14:solidFill>
                          <w14:schemeClr w14:val="tx1"/>
                        </w14:solidFill>
                      </w14:textFill>
                    </w:rPr>
                  </w:pPr>
                  <w:r>
                    <w:rPr>
                      <w:rFonts w:hint="eastAsia" w:ascii="Times New Roman" w:hAnsi="Times New Roman" w:eastAsia="宋体" w:cs="Times New Roman"/>
                      <w:b/>
                      <w:bCs/>
                      <w:i w:val="0"/>
                      <w:iCs w:val="0"/>
                      <w:color w:val="000000" w:themeColor="text1"/>
                      <w:sz w:val="18"/>
                      <w:szCs w:val="18"/>
                      <w:highlight w:val="none"/>
                      <w:u w:val="none"/>
                      <w:lang w:val="en-US" w:eastAsia="zh-CN"/>
                      <w14:textFill>
                        <w14:solidFill>
                          <w14:schemeClr w14:val="tx1"/>
                        </w14:solidFill>
                      </w14:textFill>
                    </w:rPr>
                    <w:t>执行标准/功能区类别</w:t>
                  </w:r>
                </w:p>
              </w:tc>
            </w:tr>
            <w:tr w14:paraId="51EF1E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691" w:type="dxa"/>
                  <w:vMerge w:val="continue"/>
                  <w:tcBorders>
                    <w:tl2br w:val="nil"/>
                    <w:tr2bl w:val="nil"/>
                  </w:tcBorders>
                  <w:shd w:val="clear" w:color="auto" w:fill="auto"/>
                  <w:vAlign w:val="center"/>
                </w:tcPr>
                <w:p w14:paraId="56C8F953">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1928" w:type="dxa"/>
                  <w:vMerge w:val="continue"/>
                  <w:tcBorders>
                    <w:tl2br w:val="nil"/>
                    <w:tr2bl w:val="nil"/>
                  </w:tcBorders>
                  <w:shd w:val="clear" w:color="auto" w:fill="auto"/>
                  <w:vAlign w:val="center"/>
                </w:tcPr>
                <w:p w14:paraId="1B322994">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928" w:type="dxa"/>
                  <w:tcBorders>
                    <w:tl2br w:val="nil"/>
                    <w:tr2bl w:val="nil"/>
                  </w:tcBorders>
                  <w:shd w:val="clear" w:color="auto" w:fill="auto"/>
                  <w:vAlign w:val="center"/>
                </w:tcPr>
                <w:p w14:paraId="60E76969">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X</w:t>
                  </w:r>
                </w:p>
              </w:tc>
              <w:tc>
                <w:tcPr>
                  <w:tcW w:w="889" w:type="dxa"/>
                  <w:tcBorders>
                    <w:tl2br w:val="nil"/>
                    <w:tr2bl w:val="nil"/>
                  </w:tcBorders>
                  <w:shd w:val="clear" w:color="auto" w:fill="auto"/>
                  <w:vAlign w:val="center"/>
                </w:tcPr>
                <w:p w14:paraId="2B39FD70">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Y</w:t>
                  </w:r>
                </w:p>
              </w:tc>
              <w:tc>
                <w:tcPr>
                  <w:tcW w:w="871" w:type="dxa"/>
                  <w:tcBorders>
                    <w:tl2br w:val="nil"/>
                    <w:tr2bl w:val="nil"/>
                  </w:tcBorders>
                  <w:shd w:val="clear" w:color="auto" w:fill="auto"/>
                  <w:vAlign w:val="center"/>
                </w:tcPr>
                <w:p w14:paraId="4E2379CC">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b/>
                      <w:bCs/>
                      <w:i/>
                      <w:iCs/>
                      <w:color w:val="000000" w:themeColor="text1"/>
                      <w:sz w:val="18"/>
                      <w:szCs w:val="18"/>
                      <w:highlight w:val="none"/>
                      <w:u w:val="none"/>
                      <w14:textFill>
                        <w14:solidFill>
                          <w14:schemeClr w14:val="tx1"/>
                        </w14:solidFill>
                      </w14:textFill>
                    </w:rPr>
                  </w:pPr>
                  <w:r>
                    <w:rPr>
                      <w:rFonts w:hint="default" w:ascii="Times New Roman" w:hAnsi="Times New Roman" w:eastAsia="宋体" w:cs="Times New Roman"/>
                      <w:b/>
                      <w:bCs/>
                      <w:i/>
                      <w:iCs/>
                      <w:color w:val="000000" w:themeColor="text1"/>
                      <w:kern w:val="0"/>
                      <w:sz w:val="18"/>
                      <w:szCs w:val="18"/>
                      <w:highlight w:val="none"/>
                      <w:u w:val="none"/>
                      <w:lang w:val="en-US" w:eastAsia="zh-CN" w:bidi="ar"/>
                      <w14:textFill>
                        <w14:solidFill>
                          <w14:schemeClr w14:val="tx1"/>
                        </w14:solidFill>
                      </w14:textFill>
                    </w:rPr>
                    <w:t>Z</w:t>
                  </w:r>
                </w:p>
              </w:tc>
              <w:tc>
                <w:tcPr>
                  <w:tcW w:w="1696" w:type="dxa"/>
                  <w:vMerge w:val="continue"/>
                  <w:tcBorders>
                    <w:tl2br w:val="nil"/>
                    <w:tr2bl w:val="nil"/>
                  </w:tcBorders>
                  <w:shd w:val="clear" w:color="auto" w:fill="auto"/>
                  <w:vAlign w:val="center"/>
                </w:tcPr>
                <w:p w14:paraId="53BF52BF">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1225" w:type="dxa"/>
                  <w:vMerge w:val="continue"/>
                  <w:tcBorders>
                    <w:tl2br w:val="nil"/>
                    <w:tr2bl w:val="nil"/>
                  </w:tcBorders>
                  <w:shd w:val="clear" w:color="auto" w:fill="auto"/>
                  <w:vAlign w:val="center"/>
                </w:tcPr>
                <w:p w14:paraId="59DA7480">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c>
                <w:tcPr>
                  <w:tcW w:w="3284" w:type="dxa"/>
                  <w:vMerge w:val="continue"/>
                  <w:tcBorders>
                    <w:tl2br w:val="nil"/>
                    <w:tr2bl w:val="nil"/>
                  </w:tcBorders>
                  <w:shd w:val="clear" w:color="auto" w:fill="auto"/>
                  <w:vAlign w:val="center"/>
                </w:tcPr>
                <w:p w14:paraId="0939478A">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bCs/>
                      <w:i w:val="0"/>
                      <w:iCs w:val="0"/>
                      <w:color w:val="000000" w:themeColor="text1"/>
                      <w:sz w:val="18"/>
                      <w:szCs w:val="18"/>
                      <w:highlight w:val="none"/>
                      <w:u w:val="none"/>
                      <w14:textFill>
                        <w14:solidFill>
                          <w14:schemeClr w14:val="tx1"/>
                        </w14:solidFill>
                      </w14:textFill>
                    </w:rPr>
                  </w:pPr>
                </w:p>
              </w:tc>
            </w:tr>
            <w:tr w14:paraId="63F65A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691" w:type="dxa"/>
                  <w:tcBorders>
                    <w:tl2br w:val="nil"/>
                    <w:tr2bl w:val="nil"/>
                  </w:tcBorders>
                  <w:shd w:val="clear" w:color="auto" w:fill="auto"/>
                  <w:vAlign w:val="center"/>
                </w:tcPr>
                <w:p w14:paraId="7AB78FBB">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w:t>
                  </w:r>
                </w:p>
              </w:tc>
              <w:tc>
                <w:tcPr>
                  <w:tcW w:w="1928" w:type="dxa"/>
                  <w:tcBorders>
                    <w:tl2br w:val="nil"/>
                    <w:tr2bl w:val="nil"/>
                  </w:tcBorders>
                  <w:shd w:val="clear" w:color="auto" w:fill="auto"/>
                  <w:noWrap/>
                  <w:vAlign w:val="center"/>
                </w:tcPr>
                <w:p w14:paraId="28D69D1C">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平运路33号</w:t>
                  </w:r>
                </w:p>
              </w:tc>
              <w:tc>
                <w:tcPr>
                  <w:tcW w:w="928" w:type="dxa"/>
                  <w:tcBorders>
                    <w:tl2br w:val="nil"/>
                    <w:tr2bl w:val="nil"/>
                  </w:tcBorders>
                  <w:shd w:val="clear" w:color="auto" w:fill="auto"/>
                  <w:noWrap/>
                  <w:vAlign w:val="center"/>
                </w:tcPr>
                <w:p w14:paraId="42C623B9">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300</w:t>
                  </w:r>
                </w:p>
              </w:tc>
              <w:tc>
                <w:tcPr>
                  <w:tcW w:w="889" w:type="dxa"/>
                  <w:tcBorders>
                    <w:tl2br w:val="nil"/>
                    <w:tr2bl w:val="nil"/>
                  </w:tcBorders>
                  <w:shd w:val="clear" w:color="auto" w:fill="auto"/>
                  <w:noWrap/>
                  <w:vAlign w:val="center"/>
                </w:tcPr>
                <w:p w14:paraId="30FD9122">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163</w:t>
                  </w:r>
                </w:p>
              </w:tc>
              <w:tc>
                <w:tcPr>
                  <w:tcW w:w="871" w:type="dxa"/>
                  <w:tcBorders>
                    <w:tl2br w:val="nil"/>
                    <w:tr2bl w:val="nil"/>
                  </w:tcBorders>
                  <w:shd w:val="clear" w:color="auto" w:fill="auto"/>
                  <w:noWrap/>
                  <w:vAlign w:val="center"/>
                </w:tcPr>
                <w:p w14:paraId="5FFC3A52">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1696" w:type="dxa"/>
                  <w:tcBorders>
                    <w:tl2br w:val="nil"/>
                    <w:tr2bl w:val="nil"/>
                  </w:tcBorders>
                  <w:shd w:val="clear" w:color="auto" w:fill="auto"/>
                  <w:noWrap/>
                  <w:vAlign w:val="center"/>
                </w:tcPr>
                <w:p w14:paraId="529AC539">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5</w:t>
                  </w:r>
                </w:p>
              </w:tc>
              <w:tc>
                <w:tcPr>
                  <w:tcW w:w="1225" w:type="dxa"/>
                  <w:tcBorders>
                    <w:tl2br w:val="nil"/>
                    <w:tr2bl w:val="nil"/>
                  </w:tcBorders>
                  <w:shd w:val="clear" w:color="auto" w:fill="auto"/>
                  <w:noWrap/>
                  <w:vAlign w:val="center"/>
                </w:tcPr>
                <w:p w14:paraId="1EF28735">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18"/>
                      <w:szCs w:val="18"/>
                      <w:highlight w:val="none"/>
                      <w:lang w:val="en-US" w:eastAsia="zh-CN" w:bidi="ar-SA"/>
                      <w14:textFill>
                        <w14:solidFill>
                          <w14:schemeClr w14:val="tx1"/>
                        </w14:solidFill>
                      </w14:textFill>
                    </w:rPr>
                    <w:t>东北</w:t>
                  </w:r>
                </w:p>
              </w:tc>
              <w:tc>
                <w:tcPr>
                  <w:tcW w:w="3284" w:type="dxa"/>
                  <w:vMerge w:val="restart"/>
                  <w:tcBorders>
                    <w:tl2br w:val="nil"/>
                    <w:tr2bl w:val="nil"/>
                  </w:tcBorders>
                  <w:shd w:val="clear" w:color="auto" w:fill="auto"/>
                  <w:noWrap/>
                  <w:vAlign w:val="center"/>
                </w:tcPr>
                <w:p w14:paraId="50A943D3">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color w:val="000000" w:themeColor="text1"/>
                      <w:sz w:val="18"/>
                      <w:szCs w:val="18"/>
                      <w:highlight w:val="none"/>
                      <w14:textFill>
                        <w14:solidFill>
                          <w14:schemeClr w14:val="tx1"/>
                        </w14:solidFill>
                      </w14:textFill>
                    </w:rPr>
                    <w:t>《声环境质量标准》（GB3096-2008）</w:t>
                  </w:r>
                  <w:r>
                    <w:rPr>
                      <w:rFonts w:hint="eastAsia"/>
                      <w:color w:val="000000" w:themeColor="text1"/>
                      <w:sz w:val="18"/>
                      <w:szCs w:val="18"/>
                      <w:highlight w:val="none"/>
                      <w:lang w:val="en-US" w:eastAsia="zh-CN"/>
                      <w14:textFill>
                        <w14:solidFill>
                          <w14:schemeClr w14:val="tx1"/>
                        </w14:solidFill>
                      </w14:textFill>
                    </w:rPr>
                    <w:t>2</w:t>
                  </w:r>
                  <w:r>
                    <w:rPr>
                      <w:color w:val="000000" w:themeColor="text1"/>
                      <w:sz w:val="18"/>
                      <w:szCs w:val="18"/>
                      <w:highlight w:val="none"/>
                      <w14:textFill>
                        <w14:solidFill>
                          <w14:schemeClr w14:val="tx1"/>
                        </w14:solidFill>
                      </w14:textFill>
                    </w:rPr>
                    <w:t>类标准</w:t>
                  </w:r>
                </w:p>
              </w:tc>
            </w:tr>
            <w:tr w14:paraId="63D43A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91" w:type="dxa"/>
                  <w:tcBorders>
                    <w:tl2br w:val="nil"/>
                    <w:tr2bl w:val="nil"/>
                  </w:tcBorders>
                  <w:shd w:val="clear" w:color="auto" w:fill="auto"/>
                  <w:vAlign w:val="center"/>
                </w:tcPr>
                <w:p w14:paraId="704128DB">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w:t>
                  </w:r>
                </w:p>
              </w:tc>
              <w:tc>
                <w:tcPr>
                  <w:tcW w:w="1928" w:type="dxa"/>
                  <w:tcBorders>
                    <w:tl2br w:val="nil"/>
                    <w:tr2bl w:val="nil"/>
                  </w:tcBorders>
                  <w:shd w:val="clear" w:color="auto" w:fill="auto"/>
                  <w:noWrap/>
                  <w:vAlign w:val="center"/>
                </w:tcPr>
                <w:p w14:paraId="74CEAE31">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平运路37号</w:t>
                  </w:r>
                </w:p>
              </w:tc>
              <w:tc>
                <w:tcPr>
                  <w:tcW w:w="928" w:type="dxa"/>
                  <w:tcBorders>
                    <w:tl2br w:val="nil"/>
                    <w:tr2bl w:val="nil"/>
                  </w:tcBorders>
                  <w:shd w:val="clear" w:color="auto" w:fill="auto"/>
                  <w:noWrap/>
                  <w:vAlign w:val="center"/>
                </w:tcPr>
                <w:p w14:paraId="7531061A">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184</w:t>
                  </w:r>
                </w:p>
              </w:tc>
              <w:tc>
                <w:tcPr>
                  <w:tcW w:w="889" w:type="dxa"/>
                  <w:tcBorders>
                    <w:tl2br w:val="nil"/>
                    <w:tr2bl w:val="nil"/>
                  </w:tcBorders>
                  <w:shd w:val="clear" w:color="auto" w:fill="auto"/>
                  <w:noWrap/>
                  <w:vAlign w:val="center"/>
                </w:tcPr>
                <w:p w14:paraId="28773F41">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72</w:t>
                  </w:r>
                </w:p>
              </w:tc>
              <w:tc>
                <w:tcPr>
                  <w:tcW w:w="871" w:type="dxa"/>
                  <w:tcBorders>
                    <w:tl2br w:val="nil"/>
                    <w:tr2bl w:val="nil"/>
                  </w:tcBorders>
                  <w:shd w:val="clear" w:color="auto" w:fill="auto"/>
                  <w:noWrap/>
                  <w:vAlign w:val="center"/>
                </w:tcPr>
                <w:p w14:paraId="59B1B1F4">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1696" w:type="dxa"/>
                  <w:tcBorders>
                    <w:tl2br w:val="nil"/>
                    <w:tr2bl w:val="nil"/>
                  </w:tcBorders>
                  <w:shd w:val="clear" w:color="auto" w:fill="auto"/>
                  <w:noWrap/>
                  <w:vAlign w:val="center"/>
                </w:tcPr>
                <w:p w14:paraId="4B97A7CF">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5</w:t>
                  </w:r>
                </w:p>
              </w:tc>
              <w:tc>
                <w:tcPr>
                  <w:tcW w:w="1225" w:type="dxa"/>
                  <w:tcBorders>
                    <w:tl2br w:val="nil"/>
                    <w:tr2bl w:val="nil"/>
                  </w:tcBorders>
                  <w:shd w:val="clear" w:color="auto" w:fill="auto"/>
                  <w:noWrap/>
                  <w:vAlign w:val="center"/>
                </w:tcPr>
                <w:p w14:paraId="4F9FB594">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东北</w:t>
                  </w:r>
                </w:p>
              </w:tc>
              <w:tc>
                <w:tcPr>
                  <w:tcW w:w="3284" w:type="dxa"/>
                  <w:vMerge w:val="continue"/>
                  <w:tcBorders>
                    <w:tl2br w:val="nil"/>
                    <w:tr2bl w:val="nil"/>
                  </w:tcBorders>
                  <w:shd w:val="clear" w:color="auto" w:fill="auto"/>
                  <w:noWrap/>
                  <w:vAlign w:val="center"/>
                </w:tcPr>
                <w:p w14:paraId="71755A4F">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p>
              </w:tc>
            </w:tr>
            <w:tr w14:paraId="049455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91" w:type="dxa"/>
                  <w:tcBorders>
                    <w:tl2br w:val="nil"/>
                    <w:tr2bl w:val="nil"/>
                  </w:tcBorders>
                  <w:shd w:val="clear" w:color="auto" w:fill="auto"/>
                  <w:vAlign w:val="center"/>
                </w:tcPr>
                <w:p w14:paraId="33DC2648">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w:t>
                  </w:r>
                </w:p>
              </w:tc>
              <w:tc>
                <w:tcPr>
                  <w:tcW w:w="1928" w:type="dxa"/>
                  <w:tcBorders>
                    <w:tl2br w:val="nil"/>
                    <w:tr2bl w:val="nil"/>
                  </w:tcBorders>
                  <w:shd w:val="clear" w:color="auto" w:fill="auto"/>
                  <w:noWrap/>
                  <w:vAlign w:val="center"/>
                </w:tcPr>
                <w:p w14:paraId="7E171DDD">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sz w:val="18"/>
                      <w:szCs w:val="18"/>
                      <w:highlight w:val="none"/>
                      <w:u w:val="none"/>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南斯港社区</w:t>
                  </w:r>
                  <w:r>
                    <w:rPr>
                      <w:rFonts w:hint="eastAsia" w:cs="Times New Roman"/>
                      <w:b w:val="0"/>
                      <w:bCs/>
                      <w:color w:val="000000" w:themeColor="text1"/>
                      <w:sz w:val="18"/>
                      <w:szCs w:val="18"/>
                      <w:highlight w:val="none"/>
                      <w:lang w:val="en-US" w:eastAsia="zh-CN"/>
                      <w14:textFill>
                        <w14:solidFill>
                          <w14:schemeClr w14:val="tx1"/>
                        </w14:solidFill>
                      </w14:textFill>
                    </w:rPr>
                    <w:t>散户</w:t>
                  </w:r>
                </w:p>
              </w:tc>
              <w:tc>
                <w:tcPr>
                  <w:tcW w:w="928" w:type="dxa"/>
                  <w:tcBorders>
                    <w:tl2br w:val="nil"/>
                    <w:tr2bl w:val="nil"/>
                  </w:tcBorders>
                  <w:shd w:val="clear" w:color="auto" w:fill="auto"/>
                  <w:noWrap/>
                  <w:vAlign w:val="center"/>
                </w:tcPr>
                <w:p w14:paraId="32F65ABF">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-42</w:t>
                  </w:r>
                </w:p>
              </w:tc>
              <w:tc>
                <w:tcPr>
                  <w:tcW w:w="889" w:type="dxa"/>
                  <w:tcBorders>
                    <w:tl2br w:val="nil"/>
                    <w:tr2bl w:val="nil"/>
                  </w:tcBorders>
                  <w:shd w:val="clear" w:color="auto" w:fill="auto"/>
                  <w:noWrap/>
                  <w:vAlign w:val="center"/>
                </w:tcPr>
                <w:p w14:paraId="5E9420BC">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-189</w:t>
                  </w:r>
                </w:p>
              </w:tc>
              <w:tc>
                <w:tcPr>
                  <w:tcW w:w="871" w:type="dxa"/>
                  <w:tcBorders>
                    <w:tl2br w:val="nil"/>
                    <w:tr2bl w:val="nil"/>
                  </w:tcBorders>
                  <w:shd w:val="clear" w:color="auto" w:fill="auto"/>
                  <w:noWrap/>
                  <w:vAlign w:val="center"/>
                </w:tcPr>
                <w:p w14:paraId="703AF7E8">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1696" w:type="dxa"/>
                  <w:tcBorders>
                    <w:tl2br w:val="nil"/>
                    <w:tr2bl w:val="nil"/>
                  </w:tcBorders>
                  <w:shd w:val="clear" w:color="auto" w:fill="auto"/>
                  <w:noWrap/>
                  <w:vAlign w:val="center"/>
                </w:tcPr>
                <w:p w14:paraId="1773E4AF">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5</w:t>
                  </w:r>
                </w:p>
              </w:tc>
              <w:tc>
                <w:tcPr>
                  <w:tcW w:w="1225" w:type="dxa"/>
                  <w:tcBorders>
                    <w:tl2br w:val="nil"/>
                    <w:tr2bl w:val="nil"/>
                  </w:tcBorders>
                  <w:shd w:val="clear" w:color="auto" w:fill="auto"/>
                  <w:noWrap/>
                  <w:vAlign w:val="center"/>
                </w:tcPr>
                <w:p w14:paraId="22DC5D82">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西南</w:t>
                  </w:r>
                </w:p>
              </w:tc>
              <w:tc>
                <w:tcPr>
                  <w:tcW w:w="3284" w:type="dxa"/>
                  <w:vMerge w:val="continue"/>
                  <w:tcBorders>
                    <w:tl2br w:val="nil"/>
                    <w:tr2bl w:val="nil"/>
                  </w:tcBorders>
                  <w:shd w:val="clear" w:color="auto" w:fill="auto"/>
                  <w:noWrap/>
                  <w:vAlign w:val="center"/>
                </w:tcPr>
                <w:p w14:paraId="0E68668D">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p>
              </w:tc>
            </w:tr>
            <w:tr w14:paraId="65F4AF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PrEx>
              <w:trPr>
                <w:trHeight w:val="340" w:hRule="atLeast"/>
                <w:jc w:val="center"/>
              </w:trPr>
              <w:tc>
                <w:tcPr>
                  <w:tcW w:w="691" w:type="dxa"/>
                  <w:tcBorders>
                    <w:tl2br w:val="nil"/>
                    <w:tr2bl w:val="nil"/>
                  </w:tcBorders>
                  <w:shd w:val="clear" w:color="auto" w:fill="auto"/>
                  <w:vAlign w:val="center"/>
                </w:tcPr>
                <w:p w14:paraId="0D3A9645">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w:t>
                  </w:r>
                </w:p>
              </w:tc>
              <w:tc>
                <w:tcPr>
                  <w:tcW w:w="1928" w:type="dxa"/>
                  <w:tcBorders>
                    <w:tl2br w:val="nil"/>
                    <w:tr2bl w:val="nil"/>
                  </w:tcBorders>
                  <w:shd w:val="clear" w:color="auto" w:fill="auto"/>
                  <w:noWrap/>
                  <w:vAlign w:val="center"/>
                </w:tcPr>
                <w:p w14:paraId="1B4282BC">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cs="Times New Roman"/>
                      <w:b w:val="0"/>
                      <w:bCs/>
                      <w:color w:val="000000" w:themeColor="text1"/>
                      <w:sz w:val="18"/>
                      <w:szCs w:val="18"/>
                      <w:highlight w:val="none"/>
                      <w:lang w:val="en-US" w:eastAsia="zh-CN"/>
                      <w14:textFill>
                        <w14:solidFill>
                          <w14:schemeClr w14:val="tx1"/>
                        </w14:solidFill>
                      </w14:textFill>
                    </w:rPr>
                    <w:t>平运路三弄</w:t>
                  </w:r>
                </w:p>
              </w:tc>
              <w:tc>
                <w:tcPr>
                  <w:tcW w:w="928" w:type="dxa"/>
                  <w:tcBorders>
                    <w:tl2br w:val="nil"/>
                    <w:tr2bl w:val="nil"/>
                  </w:tcBorders>
                  <w:shd w:val="clear" w:color="auto" w:fill="auto"/>
                  <w:noWrap/>
                  <w:vAlign w:val="center"/>
                </w:tcPr>
                <w:p w14:paraId="58ADD29F">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289</w:t>
                  </w:r>
                </w:p>
              </w:tc>
              <w:tc>
                <w:tcPr>
                  <w:tcW w:w="889" w:type="dxa"/>
                  <w:tcBorders>
                    <w:tl2br w:val="nil"/>
                    <w:tr2bl w:val="nil"/>
                  </w:tcBorders>
                  <w:shd w:val="clear" w:color="auto" w:fill="auto"/>
                  <w:noWrap/>
                  <w:vAlign w:val="center"/>
                </w:tcPr>
                <w:p w14:paraId="2B7FB420">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65</w:t>
                  </w:r>
                </w:p>
              </w:tc>
              <w:tc>
                <w:tcPr>
                  <w:tcW w:w="871" w:type="dxa"/>
                  <w:tcBorders>
                    <w:tl2br w:val="nil"/>
                    <w:tr2bl w:val="nil"/>
                  </w:tcBorders>
                  <w:shd w:val="clear" w:color="auto" w:fill="auto"/>
                  <w:noWrap/>
                  <w:vAlign w:val="center"/>
                </w:tcPr>
                <w:p w14:paraId="5021CBAC">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0</w:t>
                  </w:r>
                </w:p>
              </w:tc>
              <w:tc>
                <w:tcPr>
                  <w:tcW w:w="1696" w:type="dxa"/>
                  <w:tcBorders>
                    <w:tl2br w:val="nil"/>
                    <w:tr2bl w:val="nil"/>
                  </w:tcBorders>
                  <w:shd w:val="clear" w:color="auto" w:fill="auto"/>
                  <w:noWrap/>
                  <w:vAlign w:val="center"/>
                </w:tcPr>
                <w:p w14:paraId="0A70DAEE">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t>8</w:t>
                  </w:r>
                </w:p>
              </w:tc>
              <w:tc>
                <w:tcPr>
                  <w:tcW w:w="1225" w:type="dxa"/>
                  <w:tcBorders>
                    <w:tl2br w:val="nil"/>
                    <w:tr2bl w:val="nil"/>
                  </w:tcBorders>
                  <w:shd w:val="clear" w:color="auto" w:fill="auto"/>
                  <w:noWrap/>
                  <w:vAlign w:val="center"/>
                </w:tcPr>
                <w:p w14:paraId="5BC7EBAD">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r>
                    <w:rPr>
                      <w:rFonts w:hint="eastAsia" w:cs="Times New Roman"/>
                      <w:bCs/>
                      <w:color w:val="000000" w:themeColor="text1"/>
                      <w:sz w:val="18"/>
                      <w:szCs w:val="18"/>
                      <w:highlight w:val="none"/>
                      <w:lang w:val="en-US" w:eastAsia="zh-CN"/>
                      <w14:textFill>
                        <w14:solidFill>
                          <w14:schemeClr w14:val="tx1"/>
                        </w14:solidFill>
                      </w14:textFill>
                    </w:rPr>
                    <w:t>东北</w:t>
                  </w:r>
                </w:p>
              </w:tc>
              <w:tc>
                <w:tcPr>
                  <w:tcW w:w="3284" w:type="dxa"/>
                  <w:vMerge w:val="continue"/>
                  <w:tcBorders>
                    <w:tl2br w:val="nil"/>
                    <w:tr2bl w:val="nil"/>
                  </w:tcBorders>
                  <w:shd w:val="clear" w:color="auto" w:fill="auto"/>
                  <w:noWrap/>
                  <w:vAlign w:val="center"/>
                </w:tcPr>
                <w:p w14:paraId="71030105">
                  <w:pPr>
                    <w:keepNext w:val="0"/>
                    <w:keepLines w:val="0"/>
                    <w:pageBreakBefore w:val="0"/>
                    <w:widowControl/>
                    <w:suppressLineNumbers w:val="0"/>
                    <w:kinsoku/>
                    <w:wordWrap/>
                    <w:overflowPunct/>
                    <w:topLinePunct w:val="0"/>
                    <w:autoSpaceDE/>
                    <w:autoSpaceDN/>
                    <w:bidi w:val="0"/>
                    <w:spacing w:line="240" w:lineRule="auto"/>
                    <w:ind w:left="0" w:leftChars="0" w:right="0" w:rightChars="0"/>
                    <w:jc w:val="center"/>
                    <w:textAlignment w:val="center"/>
                    <w:rPr>
                      <w:rFonts w:hint="default" w:ascii="Times New Roman" w:hAnsi="Times New Roman" w:eastAsia="宋体" w:cs="Times New Roman"/>
                      <w:i w:val="0"/>
                      <w:iCs w:val="0"/>
                      <w:color w:val="000000" w:themeColor="text1"/>
                      <w:kern w:val="2"/>
                      <w:sz w:val="18"/>
                      <w:szCs w:val="18"/>
                      <w:highlight w:val="none"/>
                      <w:u w:val="none"/>
                      <w:lang w:val="en-US" w:eastAsia="zh-CN" w:bidi="ar-SA"/>
                      <w14:textFill>
                        <w14:solidFill>
                          <w14:schemeClr w14:val="tx1"/>
                        </w14:solidFill>
                      </w14:textFill>
                    </w:rPr>
                  </w:pPr>
                </w:p>
              </w:tc>
            </w:tr>
          </w:tbl>
          <w:p w14:paraId="599A0688">
            <w:pPr>
              <w:adjustRightInd w:val="0"/>
              <w:snapToGrid w:val="0"/>
              <w:rPr>
                <w:rFonts w:hint="default" w:ascii="Times New Roman" w:hAnsi="Times New Roman" w:eastAsia="宋体" w:cs="Times New Roman"/>
                <w:b/>
                <w:bCs w:val="0"/>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注：</w:t>
            </w:r>
            <w:r>
              <w:rPr>
                <w:rFonts w:hint="default" w:ascii="Times New Roman" w:hAnsi="Times New Roman" w:eastAsia="宋体" w:cs="Times New Roman"/>
                <w:b/>
                <w:bCs w:val="0"/>
                <w:color w:val="000000" w:themeColor="text1"/>
                <w:sz w:val="18"/>
                <w:szCs w:val="18"/>
                <w:highlight w:val="none"/>
                <w14:textFill>
                  <w14:solidFill>
                    <w14:schemeClr w14:val="tx1"/>
                  </w14:solidFill>
                </w14:textFill>
              </w:rPr>
              <w:t>以本期项目中间点作为坐标原点，东向为X轴正轴，北向为Y轴正轴。</w:t>
            </w:r>
          </w:p>
          <w:p w14:paraId="38790740">
            <w:pPr>
              <w:jc w:val="left"/>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p w14:paraId="063FE81F">
            <w:pPr>
              <w:pStyle w:val="4"/>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p w14:paraId="6AF85355">
            <w:pP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p w14:paraId="7582274B">
            <w:pPr>
              <w:pStyle w:val="4"/>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p w14:paraId="73801FD4">
            <w:pPr>
              <w:rPr>
                <w:rFonts w:hint="default" w:ascii="Times New Roman" w:hAnsi="Times New Roman" w:eastAsia="宋体" w:cs="Times New Roman"/>
                <w:color w:val="000000" w:themeColor="text1"/>
                <w:kern w:val="0"/>
                <w:sz w:val="18"/>
                <w:szCs w:val="18"/>
                <w:highlight w:val="none"/>
                <w14:textFill>
                  <w14:solidFill>
                    <w14:schemeClr w14:val="tx1"/>
                  </w14:solidFill>
                </w14:textFill>
              </w:rPr>
            </w:pPr>
          </w:p>
          <w:p w14:paraId="221CAF6F">
            <w:pPr>
              <w:pStyle w:val="45"/>
              <w:keepNext w:val="0"/>
              <w:keepLines w:val="0"/>
              <w:pageBreakBefore w:val="0"/>
              <w:widowControl w:val="0"/>
              <w:kinsoku/>
              <w:wordWrap/>
              <w:overflowPunct/>
              <w:topLinePunct w:val="0"/>
              <w:autoSpaceDE w:val="0"/>
              <w:autoSpaceDN w:val="0"/>
              <w:bidi w:val="0"/>
              <w:adjustRightInd w:val="0"/>
              <w:snapToGrid/>
              <w:spacing w:before="157" w:beforeLines="50" w:line="240" w:lineRule="auto"/>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表4-</w:t>
            </w:r>
            <w:r>
              <w:rPr>
                <w:rFonts w:hint="eastAsia" w:cs="Times New Roman"/>
                <w:b w:val="0"/>
                <w:bCs/>
                <w:color w:val="000000" w:themeColor="text1"/>
                <w:sz w:val="21"/>
                <w:szCs w:val="21"/>
                <w:highlight w:val="none"/>
                <w:vertAlign w:val="baseline"/>
                <w:lang w:val="en-US" w:eastAsia="zh-CN"/>
                <w14:textFill>
                  <w14:solidFill>
                    <w14:schemeClr w14:val="tx1"/>
                  </w14:solidFill>
                </w14:textFill>
              </w:rPr>
              <w:t>12</w:t>
            </w: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 xml:space="preserve">  本项目</w:t>
            </w:r>
            <w:r>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声环境保护目标噪声预测结果与达标分析表</w:t>
            </w: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（单位：</w:t>
            </w:r>
            <w:r>
              <w:rPr>
                <w:rStyle w:val="44"/>
                <w:rFonts w:hint="default" w:ascii="Times New Roman" w:hAnsi="Times New Roman" w:cs="Times New Roman"/>
                <w:b w:val="0"/>
                <w:bCs/>
                <w:color w:val="000000" w:themeColor="text1"/>
                <w:kern w:val="0"/>
                <w:sz w:val="21"/>
                <w:szCs w:val="21"/>
                <w:highlight w:val="none"/>
                <w:vertAlign w:val="baseline"/>
                <w:lang w:val="en-US" w:eastAsia="zh-CN"/>
                <w14:textFill>
                  <w14:solidFill>
                    <w14:schemeClr w14:val="tx1"/>
                  </w14:solidFill>
                </w14:textFill>
              </w:rPr>
              <w:t>dB(A)</w:t>
            </w: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w:t>
            </w:r>
          </w:p>
          <w:tbl>
            <w:tblPr>
              <w:tblStyle w:val="3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1695"/>
              <w:gridCol w:w="751"/>
              <w:gridCol w:w="690"/>
              <w:gridCol w:w="751"/>
              <w:gridCol w:w="703"/>
              <w:gridCol w:w="738"/>
              <w:gridCol w:w="738"/>
              <w:gridCol w:w="763"/>
              <w:gridCol w:w="679"/>
              <w:gridCol w:w="727"/>
              <w:gridCol w:w="751"/>
              <w:gridCol w:w="679"/>
              <w:gridCol w:w="713"/>
              <w:gridCol w:w="849"/>
              <w:gridCol w:w="817"/>
            </w:tblGrid>
            <w:tr w14:paraId="7C193B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vMerge w:val="restart"/>
                  <w:tcBorders>
                    <w:tl2br w:val="nil"/>
                    <w:tr2bl w:val="nil"/>
                  </w:tcBorders>
                  <w:vAlign w:val="center"/>
                </w:tcPr>
                <w:p w14:paraId="3E91474D">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序号</w:t>
                  </w:r>
                </w:p>
              </w:tc>
              <w:tc>
                <w:tcPr>
                  <w:tcW w:w="1695" w:type="dxa"/>
                  <w:vMerge w:val="restart"/>
                  <w:tcBorders>
                    <w:tl2br w:val="nil"/>
                    <w:tr2bl w:val="nil"/>
                  </w:tcBorders>
                  <w:vAlign w:val="center"/>
                </w:tcPr>
                <w:p w14:paraId="6747BB9A">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声环境保护目标名称</w:t>
                  </w:r>
                </w:p>
              </w:tc>
              <w:tc>
                <w:tcPr>
                  <w:tcW w:w="1441" w:type="dxa"/>
                  <w:gridSpan w:val="2"/>
                  <w:tcBorders>
                    <w:tl2br w:val="nil"/>
                    <w:tr2bl w:val="nil"/>
                  </w:tcBorders>
                  <w:vAlign w:val="center"/>
                </w:tcPr>
                <w:p w14:paraId="0AA82239">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噪声背景值</w:t>
                  </w:r>
                </w:p>
              </w:tc>
              <w:tc>
                <w:tcPr>
                  <w:tcW w:w="1454" w:type="dxa"/>
                  <w:gridSpan w:val="2"/>
                  <w:tcBorders>
                    <w:tl2br w:val="nil"/>
                    <w:tr2bl w:val="nil"/>
                  </w:tcBorders>
                  <w:vAlign w:val="center"/>
                </w:tcPr>
                <w:p w14:paraId="760BD204">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噪声现状值</w:t>
                  </w:r>
                </w:p>
              </w:tc>
              <w:tc>
                <w:tcPr>
                  <w:tcW w:w="1476" w:type="dxa"/>
                  <w:gridSpan w:val="2"/>
                  <w:tcBorders>
                    <w:tl2br w:val="nil"/>
                    <w:tr2bl w:val="nil"/>
                  </w:tcBorders>
                  <w:vAlign w:val="center"/>
                </w:tcPr>
                <w:p w14:paraId="6D374B3B">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噪声标准</w:t>
                  </w:r>
                </w:p>
              </w:tc>
              <w:tc>
                <w:tcPr>
                  <w:tcW w:w="1442" w:type="dxa"/>
                  <w:gridSpan w:val="2"/>
                  <w:tcBorders>
                    <w:tl2br w:val="nil"/>
                    <w:tr2bl w:val="nil"/>
                  </w:tcBorders>
                  <w:vAlign w:val="center"/>
                </w:tcPr>
                <w:p w14:paraId="67DDDE33">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噪声贡献值</w:t>
                  </w:r>
                </w:p>
              </w:tc>
              <w:tc>
                <w:tcPr>
                  <w:tcW w:w="1478" w:type="dxa"/>
                  <w:gridSpan w:val="2"/>
                  <w:tcBorders>
                    <w:tl2br w:val="nil"/>
                    <w:tr2bl w:val="nil"/>
                  </w:tcBorders>
                  <w:vAlign w:val="center"/>
                </w:tcPr>
                <w:p w14:paraId="10531520">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噪声预测值</w:t>
                  </w:r>
                </w:p>
              </w:tc>
              <w:tc>
                <w:tcPr>
                  <w:tcW w:w="1392" w:type="dxa"/>
                  <w:gridSpan w:val="2"/>
                  <w:tcBorders>
                    <w:tl2br w:val="nil"/>
                    <w:tr2bl w:val="nil"/>
                  </w:tcBorders>
                  <w:vAlign w:val="center"/>
                </w:tcPr>
                <w:p w14:paraId="64F9FCEA">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较现状增量</w:t>
                  </w:r>
                </w:p>
              </w:tc>
              <w:tc>
                <w:tcPr>
                  <w:tcW w:w="1666" w:type="dxa"/>
                  <w:gridSpan w:val="2"/>
                  <w:tcBorders>
                    <w:tl2br w:val="nil"/>
                    <w:tr2bl w:val="nil"/>
                  </w:tcBorders>
                  <w:vAlign w:val="center"/>
                </w:tcPr>
                <w:p w14:paraId="61C397E0">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超标和达标情况</w:t>
                  </w:r>
                </w:p>
              </w:tc>
            </w:tr>
            <w:tr w14:paraId="6A3CCC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vMerge w:val="continue"/>
                  <w:tcBorders>
                    <w:tl2br w:val="nil"/>
                    <w:tr2bl w:val="nil"/>
                  </w:tcBorders>
                  <w:vAlign w:val="center"/>
                </w:tcPr>
                <w:p w14:paraId="38263DAD">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p>
              </w:tc>
              <w:tc>
                <w:tcPr>
                  <w:tcW w:w="1695" w:type="dxa"/>
                  <w:vMerge w:val="continue"/>
                  <w:tcBorders>
                    <w:tl2br w:val="nil"/>
                    <w:tr2bl w:val="nil"/>
                  </w:tcBorders>
                  <w:vAlign w:val="center"/>
                </w:tcPr>
                <w:p w14:paraId="7534778F">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p>
              </w:tc>
              <w:tc>
                <w:tcPr>
                  <w:tcW w:w="751" w:type="dxa"/>
                  <w:tcBorders>
                    <w:tl2br w:val="nil"/>
                    <w:tr2bl w:val="nil"/>
                  </w:tcBorders>
                  <w:vAlign w:val="center"/>
                </w:tcPr>
                <w:p w14:paraId="2C2070BD">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690" w:type="dxa"/>
                  <w:tcBorders>
                    <w:tl2br w:val="nil"/>
                    <w:tr2bl w:val="nil"/>
                  </w:tcBorders>
                  <w:vAlign w:val="center"/>
                </w:tcPr>
                <w:p w14:paraId="46090F58">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751" w:type="dxa"/>
                  <w:tcBorders>
                    <w:tl2br w:val="nil"/>
                    <w:tr2bl w:val="nil"/>
                  </w:tcBorders>
                  <w:vAlign w:val="center"/>
                </w:tcPr>
                <w:p w14:paraId="5B74A4B6">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703" w:type="dxa"/>
                  <w:tcBorders>
                    <w:tl2br w:val="nil"/>
                    <w:tr2bl w:val="nil"/>
                  </w:tcBorders>
                  <w:vAlign w:val="center"/>
                </w:tcPr>
                <w:p w14:paraId="340CF490">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738" w:type="dxa"/>
                  <w:tcBorders>
                    <w:tl2br w:val="nil"/>
                    <w:tr2bl w:val="nil"/>
                  </w:tcBorders>
                  <w:vAlign w:val="center"/>
                </w:tcPr>
                <w:p w14:paraId="3FF59B45">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738" w:type="dxa"/>
                  <w:tcBorders>
                    <w:tl2br w:val="nil"/>
                    <w:tr2bl w:val="nil"/>
                  </w:tcBorders>
                  <w:vAlign w:val="center"/>
                </w:tcPr>
                <w:p w14:paraId="009D8B76">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763" w:type="dxa"/>
                  <w:tcBorders>
                    <w:tl2br w:val="nil"/>
                    <w:tr2bl w:val="nil"/>
                  </w:tcBorders>
                  <w:vAlign w:val="center"/>
                </w:tcPr>
                <w:p w14:paraId="1985E99A">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679" w:type="dxa"/>
                  <w:tcBorders>
                    <w:tl2br w:val="nil"/>
                    <w:tr2bl w:val="nil"/>
                  </w:tcBorders>
                  <w:vAlign w:val="center"/>
                </w:tcPr>
                <w:p w14:paraId="7FBF337F">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727" w:type="dxa"/>
                  <w:tcBorders>
                    <w:tl2br w:val="nil"/>
                    <w:tr2bl w:val="nil"/>
                  </w:tcBorders>
                  <w:vAlign w:val="center"/>
                </w:tcPr>
                <w:p w14:paraId="1031C619">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751" w:type="dxa"/>
                  <w:tcBorders>
                    <w:tl2br w:val="nil"/>
                    <w:tr2bl w:val="nil"/>
                  </w:tcBorders>
                  <w:vAlign w:val="center"/>
                </w:tcPr>
                <w:p w14:paraId="4141975A">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679" w:type="dxa"/>
                  <w:tcBorders>
                    <w:tl2br w:val="nil"/>
                    <w:tr2bl w:val="nil"/>
                  </w:tcBorders>
                  <w:vAlign w:val="center"/>
                </w:tcPr>
                <w:p w14:paraId="64D065EC">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713" w:type="dxa"/>
                  <w:tcBorders>
                    <w:tl2br w:val="nil"/>
                    <w:tr2bl w:val="nil"/>
                  </w:tcBorders>
                  <w:vAlign w:val="center"/>
                </w:tcPr>
                <w:p w14:paraId="3EAAF98C">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c>
                <w:tcPr>
                  <w:tcW w:w="849" w:type="dxa"/>
                  <w:tcBorders>
                    <w:tl2br w:val="nil"/>
                    <w:tr2bl w:val="nil"/>
                  </w:tcBorders>
                  <w:vAlign w:val="center"/>
                </w:tcPr>
                <w:p w14:paraId="0E93D6F9">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昼间</w:t>
                  </w:r>
                </w:p>
              </w:tc>
              <w:tc>
                <w:tcPr>
                  <w:tcW w:w="817" w:type="dxa"/>
                  <w:tcBorders>
                    <w:tl2br w:val="nil"/>
                    <w:tr2bl w:val="nil"/>
                  </w:tcBorders>
                  <w:vAlign w:val="center"/>
                </w:tcPr>
                <w:p w14:paraId="05290320">
                  <w:pPr>
                    <w:pStyle w:val="45"/>
                    <w:keepNext w:val="0"/>
                    <w:keepLines w:val="0"/>
                    <w:pageBreakBefore w:val="0"/>
                    <w:kinsoku/>
                    <w:wordWrap/>
                    <w:overflowPunct/>
                    <w:topLinePunct w:val="0"/>
                    <w:bidi w:val="0"/>
                    <w:spacing w:line="240" w:lineRule="auto"/>
                    <w:ind w:left="-105" w:leftChars="-50" w:right="-105" w:rightChars="-50"/>
                    <w:jc w:val="center"/>
                    <w:rPr>
                      <w:color w:val="000000" w:themeColor="text1"/>
                      <w:sz w:val="18"/>
                      <w:szCs w:val="18"/>
                      <w:highlight w:val="none"/>
                      <w14:textFill>
                        <w14:solidFill>
                          <w14:schemeClr w14:val="tx1"/>
                        </w14:solidFill>
                      </w14:textFill>
                    </w:rPr>
                  </w:pPr>
                  <w:r>
                    <w:rPr>
                      <w:rFonts w:hint="eastAsia" w:ascii="Times New Roman" w:hAnsi="Times New Roman" w:cs="Times New Roman"/>
                      <w:b/>
                      <w:bCs w:val="0"/>
                      <w:color w:val="000000" w:themeColor="text1"/>
                      <w:sz w:val="18"/>
                      <w:szCs w:val="18"/>
                      <w:highlight w:val="none"/>
                      <w:vertAlign w:val="baseline"/>
                      <w:lang w:val="en-US" w:eastAsia="zh-CN"/>
                      <w14:textFill>
                        <w14:solidFill>
                          <w14:schemeClr w14:val="tx1"/>
                        </w14:solidFill>
                      </w14:textFill>
                    </w:rPr>
                    <w:t>夜间</w:t>
                  </w:r>
                </w:p>
              </w:tc>
            </w:tr>
            <w:tr w14:paraId="1D4B6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shd w:val="clear" w:color="auto" w:fill="auto"/>
                  <w:vAlign w:val="center"/>
                </w:tcPr>
                <w:p w14:paraId="301C4D12">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1</w:t>
                  </w:r>
                </w:p>
              </w:tc>
              <w:tc>
                <w:tcPr>
                  <w:tcW w:w="1695" w:type="dxa"/>
                  <w:tcBorders>
                    <w:tl2br w:val="nil"/>
                    <w:tr2bl w:val="nil"/>
                  </w:tcBorders>
                  <w:shd w:val="clear" w:color="auto" w:fill="auto"/>
                  <w:vAlign w:val="center"/>
                </w:tcPr>
                <w:p w14:paraId="0082B17E">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东</w:t>
                  </w: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p>
              </w:tc>
              <w:tc>
                <w:tcPr>
                  <w:tcW w:w="751" w:type="dxa"/>
                  <w:tcBorders>
                    <w:tl2br w:val="nil"/>
                    <w:tr2bl w:val="nil"/>
                  </w:tcBorders>
                  <w:shd w:val="clear" w:color="auto" w:fill="auto"/>
                  <w:vAlign w:val="center"/>
                </w:tcPr>
                <w:p w14:paraId="63B90CC6">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49.6</w:t>
                  </w:r>
                </w:p>
              </w:tc>
              <w:tc>
                <w:tcPr>
                  <w:tcW w:w="690" w:type="dxa"/>
                  <w:tcBorders>
                    <w:tl2br w:val="nil"/>
                    <w:tr2bl w:val="nil"/>
                  </w:tcBorders>
                  <w:shd w:val="clear" w:color="auto" w:fill="auto"/>
                  <w:vAlign w:val="center"/>
                </w:tcPr>
                <w:p w14:paraId="5B60DE46">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44.8</w:t>
                  </w:r>
                </w:p>
              </w:tc>
              <w:tc>
                <w:tcPr>
                  <w:tcW w:w="751" w:type="dxa"/>
                  <w:tcBorders>
                    <w:tl2br w:val="nil"/>
                    <w:tr2bl w:val="nil"/>
                  </w:tcBorders>
                  <w:shd w:val="clear" w:color="auto" w:fill="auto"/>
                  <w:vAlign w:val="center"/>
                </w:tcPr>
                <w:p w14:paraId="5FA98C4D">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49.6</w:t>
                  </w:r>
                </w:p>
              </w:tc>
              <w:tc>
                <w:tcPr>
                  <w:tcW w:w="703" w:type="dxa"/>
                  <w:tcBorders>
                    <w:tl2br w:val="nil"/>
                    <w:tr2bl w:val="nil"/>
                  </w:tcBorders>
                  <w:shd w:val="clear" w:color="auto" w:fill="auto"/>
                  <w:vAlign w:val="center"/>
                </w:tcPr>
                <w:p w14:paraId="58E88C9C">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44.8</w:t>
                  </w:r>
                </w:p>
              </w:tc>
              <w:tc>
                <w:tcPr>
                  <w:tcW w:w="738" w:type="dxa"/>
                  <w:tcBorders>
                    <w:tl2br w:val="nil"/>
                    <w:tr2bl w:val="nil"/>
                  </w:tcBorders>
                  <w:shd w:val="clear" w:color="auto" w:fill="auto"/>
                  <w:vAlign w:val="center"/>
                </w:tcPr>
                <w:p w14:paraId="76090484">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65</w:t>
                  </w:r>
                </w:p>
              </w:tc>
              <w:tc>
                <w:tcPr>
                  <w:tcW w:w="738" w:type="dxa"/>
                  <w:tcBorders>
                    <w:tl2br w:val="nil"/>
                    <w:tr2bl w:val="nil"/>
                  </w:tcBorders>
                  <w:shd w:val="clear" w:color="auto" w:fill="auto"/>
                  <w:vAlign w:val="center"/>
                </w:tcPr>
                <w:p w14:paraId="26F5C37A">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763" w:type="dxa"/>
                  <w:tcBorders>
                    <w:tl2br w:val="nil"/>
                    <w:tr2bl w:val="nil"/>
                  </w:tcBorders>
                  <w:shd w:val="clear" w:color="auto" w:fill="auto"/>
                  <w:vAlign w:val="center"/>
                </w:tcPr>
                <w:p w14:paraId="6ED6C4E9">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20.06</w:t>
                  </w:r>
                </w:p>
              </w:tc>
              <w:tc>
                <w:tcPr>
                  <w:tcW w:w="679" w:type="dxa"/>
                  <w:tcBorders>
                    <w:tl2br w:val="nil"/>
                    <w:tr2bl w:val="nil"/>
                  </w:tcBorders>
                  <w:shd w:val="clear" w:color="auto" w:fill="auto"/>
                  <w:vAlign w:val="center"/>
                </w:tcPr>
                <w:p w14:paraId="1B1E8C85">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20.06</w:t>
                  </w:r>
                </w:p>
              </w:tc>
              <w:tc>
                <w:tcPr>
                  <w:tcW w:w="727" w:type="dxa"/>
                  <w:tcBorders>
                    <w:tl2br w:val="nil"/>
                    <w:tr2bl w:val="nil"/>
                  </w:tcBorders>
                  <w:shd w:val="clear" w:color="auto" w:fill="auto"/>
                  <w:vAlign w:val="center"/>
                </w:tcPr>
                <w:p w14:paraId="547197F3">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49.605</w:t>
                  </w:r>
                </w:p>
              </w:tc>
              <w:tc>
                <w:tcPr>
                  <w:tcW w:w="751" w:type="dxa"/>
                  <w:tcBorders>
                    <w:tl2br w:val="nil"/>
                    <w:tr2bl w:val="nil"/>
                  </w:tcBorders>
                  <w:shd w:val="clear" w:color="auto" w:fill="auto"/>
                  <w:vAlign w:val="center"/>
                </w:tcPr>
                <w:p w14:paraId="0B4C56C3">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44.815</w:t>
                  </w:r>
                </w:p>
              </w:tc>
              <w:tc>
                <w:tcPr>
                  <w:tcW w:w="679" w:type="dxa"/>
                  <w:tcBorders>
                    <w:tl2br w:val="nil"/>
                    <w:tr2bl w:val="nil"/>
                  </w:tcBorders>
                  <w:shd w:val="clear" w:color="auto" w:fill="auto"/>
                  <w:vAlign w:val="center"/>
                </w:tcPr>
                <w:p w14:paraId="63D7A71A">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0.005</w:t>
                  </w:r>
                </w:p>
              </w:tc>
              <w:tc>
                <w:tcPr>
                  <w:tcW w:w="713" w:type="dxa"/>
                  <w:tcBorders>
                    <w:tl2br w:val="nil"/>
                    <w:tr2bl w:val="nil"/>
                  </w:tcBorders>
                  <w:shd w:val="clear" w:color="auto" w:fill="auto"/>
                  <w:vAlign w:val="center"/>
                </w:tcPr>
                <w:p w14:paraId="2EF3462E">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0.015</w:t>
                  </w:r>
                </w:p>
              </w:tc>
              <w:tc>
                <w:tcPr>
                  <w:tcW w:w="849" w:type="dxa"/>
                  <w:tcBorders>
                    <w:tl2br w:val="nil"/>
                    <w:tr2bl w:val="nil"/>
                  </w:tcBorders>
                  <w:vAlign w:val="center"/>
                </w:tcPr>
                <w:p w14:paraId="4A8D7419">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vAlign w:val="center"/>
                </w:tcPr>
                <w:p w14:paraId="6535ED32">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0FD044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shd w:val="clear" w:color="auto" w:fill="auto"/>
                  <w:vAlign w:val="center"/>
                </w:tcPr>
                <w:p w14:paraId="49440005">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2</w:t>
                  </w:r>
                </w:p>
              </w:tc>
              <w:tc>
                <w:tcPr>
                  <w:tcW w:w="1695" w:type="dxa"/>
                  <w:tcBorders>
                    <w:tl2br w:val="nil"/>
                    <w:tr2bl w:val="nil"/>
                  </w:tcBorders>
                  <w:shd w:val="clear" w:color="auto" w:fill="auto"/>
                  <w:vAlign w:val="center"/>
                </w:tcPr>
                <w:p w14:paraId="013D69D7">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南厂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p>
              </w:tc>
              <w:tc>
                <w:tcPr>
                  <w:tcW w:w="751" w:type="dxa"/>
                  <w:tcBorders>
                    <w:tl2br w:val="nil"/>
                    <w:tr2bl w:val="nil"/>
                  </w:tcBorders>
                  <w:shd w:val="clear" w:color="auto" w:fill="auto"/>
                  <w:vAlign w:val="center"/>
                </w:tcPr>
                <w:p w14:paraId="0374B764">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57.5</w:t>
                  </w:r>
                </w:p>
              </w:tc>
              <w:tc>
                <w:tcPr>
                  <w:tcW w:w="690" w:type="dxa"/>
                  <w:tcBorders>
                    <w:tl2br w:val="nil"/>
                    <w:tr2bl w:val="nil"/>
                  </w:tcBorders>
                  <w:shd w:val="clear" w:color="auto" w:fill="auto"/>
                  <w:vAlign w:val="center"/>
                </w:tcPr>
                <w:p w14:paraId="6378B10D">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53.4</w:t>
                  </w:r>
                </w:p>
              </w:tc>
              <w:tc>
                <w:tcPr>
                  <w:tcW w:w="751" w:type="dxa"/>
                  <w:tcBorders>
                    <w:tl2br w:val="nil"/>
                    <w:tr2bl w:val="nil"/>
                  </w:tcBorders>
                  <w:shd w:val="clear" w:color="auto" w:fill="auto"/>
                  <w:vAlign w:val="center"/>
                </w:tcPr>
                <w:p w14:paraId="6A718FDB">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57.5</w:t>
                  </w:r>
                </w:p>
              </w:tc>
              <w:tc>
                <w:tcPr>
                  <w:tcW w:w="703" w:type="dxa"/>
                  <w:tcBorders>
                    <w:tl2br w:val="nil"/>
                    <w:tr2bl w:val="nil"/>
                  </w:tcBorders>
                  <w:shd w:val="clear" w:color="auto" w:fill="auto"/>
                  <w:vAlign w:val="center"/>
                </w:tcPr>
                <w:p w14:paraId="56340158">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53.4</w:t>
                  </w:r>
                </w:p>
              </w:tc>
              <w:tc>
                <w:tcPr>
                  <w:tcW w:w="738" w:type="dxa"/>
                  <w:tcBorders>
                    <w:tl2br w:val="nil"/>
                    <w:tr2bl w:val="nil"/>
                  </w:tcBorders>
                  <w:shd w:val="clear" w:color="auto" w:fill="auto"/>
                  <w:vAlign w:val="center"/>
                </w:tcPr>
                <w:p w14:paraId="4D5AFE2D">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70</w:t>
                  </w:r>
                </w:p>
              </w:tc>
              <w:tc>
                <w:tcPr>
                  <w:tcW w:w="738" w:type="dxa"/>
                  <w:tcBorders>
                    <w:tl2br w:val="nil"/>
                    <w:tr2bl w:val="nil"/>
                  </w:tcBorders>
                  <w:shd w:val="clear" w:color="auto" w:fill="auto"/>
                  <w:vAlign w:val="center"/>
                </w:tcPr>
                <w:p w14:paraId="2614396F">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763" w:type="dxa"/>
                  <w:tcBorders>
                    <w:tl2br w:val="nil"/>
                    <w:tr2bl w:val="nil"/>
                  </w:tcBorders>
                  <w:shd w:val="clear" w:color="auto" w:fill="auto"/>
                  <w:vAlign w:val="center"/>
                </w:tcPr>
                <w:p w14:paraId="0A9A5755">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30.73</w:t>
                  </w:r>
                </w:p>
              </w:tc>
              <w:tc>
                <w:tcPr>
                  <w:tcW w:w="679" w:type="dxa"/>
                  <w:tcBorders>
                    <w:tl2br w:val="nil"/>
                    <w:tr2bl w:val="nil"/>
                  </w:tcBorders>
                  <w:shd w:val="clear" w:color="auto" w:fill="auto"/>
                  <w:vAlign w:val="center"/>
                </w:tcPr>
                <w:p w14:paraId="4032EBB0">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30.73</w:t>
                  </w:r>
                </w:p>
              </w:tc>
              <w:tc>
                <w:tcPr>
                  <w:tcW w:w="727" w:type="dxa"/>
                  <w:tcBorders>
                    <w:tl2br w:val="nil"/>
                    <w:tr2bl w:val="nil"/>
                  </w:tcBorders>
                  <w:shd w:val="clear" w:color="auto" w:fill="auto"/>
                  <w:vAlign w:val="center"/>
                </w:tcPr>
                <w:p w14:paraId="36C5612C">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57.509</w:t>
                  </w:r>
                </w:p>
              </w:tc>
              <w:tc>
                <w:tcPr>
                  <w:tcW w:w="751" w:type="dxa"/>
                  <w:tcBorders>
                    <w:tl2br w:val="nil"/>
                    <w:tr2bl w:val="nil"/>
                  </w:tcBorders>
                  <w:shd w:val="clear" w:color="auto" w:fill="auto"/>
                  <w:vAlign w:val="center"/>
                </w:tcPr>
                <w:p w14:paraId="6E54ABC1">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53.423</w:t>
                  </w:r>
                </w:p>
              </w:tc>
              <w:tc>
                <w:tcPr>
                  <w:tcW w:w="679" w:type="dxa"/>
                  <w:tcBorders>
                    <w:tl2br w:val="nil"/>
                    <w:tr2bl w:val="nil"/>
                  </w:tcBorders>
                  <w:shd w:val="clear" w:color="auto" w:fill="auto"/>
                  <w:vAlign w:val="center"/>
                </w:tcPr>
                <w:p w14:paraId="558FA883">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0.009</w:t>
                  </w:r>
                </w:p>
              </w:tc>
              <w:tc>
                <w:tcPr>
                  <w:tcW w:w="713" w:type="dxa"/>
                  <w:tcBorders>
                    <w:tl2br w:val="nil"/>
                    <w:tr2bl w:val="nil"/>
                  </w:tcBorders>
                  <w:shd w:val="clear" w:color="auto" w:fill="auto"/>
                  <w:vAlign w:val="center"/>
                </w:tcPr>
                <w:p w14:paraId="33B04A61">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0.023</w:t>
                  </w:r>
                </w:p>
              </w:tc>
              <w:tc>
                <w:tcPr>
                  <w:tcW w:w="849" w:type="dxa"/>
                  <w:tcBorders>
                    <w:tl2br w:val="nil"/>
                    <w:tr2bl w:val="nil"/>
                  </w:tcBorders>
                  <w:vAlign w:val="center"/>
                </w:tcPr>
                <w:p w14:paraId="7EA45B41">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vAlign w:val="center"/>
                </w:tcPr>
                <w:p w14:paraId="7BE253FC">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6DF5D2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shd w:val="clear" w:color="auto" w:fill="auto"/>
                  <w:vAlign w:val="center"/>
                </w:tcPr>
                <w:p w14:paraId="37E84C34">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3</w:t>
                  </w:r>
                </w:p>
              </w:tc>
              <w:tc>
                <w:tcPr>
                  <w:tcW w:w="1695" w:type="dxa"/>
                  <w:tcBorders>
                    <w:tl2br w:val="nil"/>
                    <w:tr2bl w:val="nil"/>
                  </w:tcBorders>
                  <w:shd w:val="clear" w:color="auto" w:fill="auto"/>
                  <w:vAlign w:val="center"/>
                </w:tcPr>
                <w:p w14:paraId="1AF1DF04">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西厂</w:t>
                  </w:r>
                  <w:r>
                    <w:rPr>
                      <w:rFonts w:hint="default" w:ascii="Times New Roman" w:hAnsi="Times New Roman" w:eastAsia="宋体" w:cs="Times New Roman"/>
                      <w:color w:val="000000" w:themeColor="text1"/>
                      <w:kern w:val="0"/>
                      <w:sz w:val="18"/>
                      <w:szCs w:val="18"/>
                      <w:highlight w:val="none"/>
                      <w14:textFill>
                        <w14:solidFill>
                          <w14:schemeClr w14:val="tx1"/>
                        </w14:solidFill>
                      </w14:textFill>
                    </w:rPr>
                    <w:t>界</w:t>
                  </w:r>
                </w:p>
              </w:tc>
              <w:tc>
                <w:tcPr>
                  <w:tcW w:w="751" w:type="dxa"/>
                  <w:tcBorders>
                    <w:tl2br w:val="nil"/>
                    <w:tr2bl w:val="nil"/>
                  </w:tcBorders>
                  <w:shd w:val="clear" w:color="auto" w:fill="auto"/>
                  <w:vAlign w:val="center"/>
                </w:tcPr>
                <w:p w14:paraId="0823C882">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60.7</w:t>
                  </w:r>
                </w:p>
              </w:tc>
              <w:tc>
                <w:tcPr>
                  <w:tcW w:w="690" w:type="dxa"/>
                  <w:tcBorders>
                    <w:tl2br w:val="nil"/>
                    <w:tr2bl w:val="nil"/>
                  </w:tcBorders>
                  <w:shd w:val="clear" w:color="auto" w:fill="auto"/>
                  <w:vAlign w:val="center"/>
                </w:tcPr>
                <w:p w14:paraId="6E18B4E8">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54.3</w:t>
                  </w:r>
                </w:p>
              </w:tc>
              <w:tc>
                <w:tcPr>
                  <w:tcW w:w="751" w:type="dxa"/>
                  <w:tcBorders>
                    <w:tl2br w:val="nil"/>
                    <w:tr2bl w:val="nil"/>
                  </w:tcBorders>
                  <w:shd w:val="clear" w:color="auto" w:fill="auto"/>
                  <w:vAlign w:val="center"/>
                </w:tcPr>
                <w:p w14:paraId="3667C803">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60.7</w:t>
                  </w:r>
                </w:p>
              </w:tc>
              <w:tc>
                <w:tcPr>
                  <w:tcW w:w="703" w:type="dxa"/>
                  <w:tcBorders>
                    <w:tl2br w:val="nil"/>
                    <w:tr2bl w:val="nil"/>
                  </w:tcBorders>
                  <w:shd w:val="clear" w:color="auto" w:fill="auto"/>
                  <w:vAlign w:val="center"/>
                </w:tcPr>
                <w:p w14:paraId="41DDE7DE">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54.3</w:t>
                  </w:r>
                </w:p>
              </w:tc>
              <w:tc>
                <w:tcPr>
                  <w:tcW w:w="738" w:type="dxa"/>
                  <w:tcBorders>
                    <w:tl2br w:val="nil"/>
                    <w:tr2bl w:val="nil"/>
                  </w:tcBorders>
                  <w:shd w:val="clear" w:color="auto" w:fill="auto"/>
                  <w:vAlign w:val="center"/>
                </w:tcPr>
                <w:p w14:paraId="6C11B8BB">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70</w:t>
                  </w:r>
                </w:p>
              </w:tc>
              <w:tc>
                <w:tcPr>
                  <w:tcW w:w="738" w:type="dxa"/>
                  <w:tcBorders>
                    <w:tl2br w:val="nil"/>
                    <w:tr2bl w:val="nil"/>
                  </w:tcBorders>
                  <w:shd w:val="clear" w:color="auto" w:fill="auto"/>
                  <w:vAlign w:val="center"/>
                </w:tcPr>
                <w:p w14:paraId="64C54753">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55</w:t>
                  </w:r>
                </w:p>
              </w:tc>
              <w:tc>
                <w:tcPr>
                  <w:tcW w:w="763" w:type="dxa"/>
                  <w:tcBorders>
                    <w:tl2br w:val="nil"/>
                    <w:tr2bl w:val="nil"/>
                  </w:tcBorders>
                  <w:shd w:val="clear" w:color="auto" w:fill="auto"/>
                  <w:vAlign w:val="center"/>
                </w:tcPr>
                <w:p w14:paraId="3E732186">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32.34</w:t>
                  </w:r>
                </w:p>
              </w:tc>
              <w:tc>
                <w:tcPr>
                  <w:tcW w:w="679" w:type="dxa"/>
                  <w:tcBorders>
                    <w:tl2br w:val="nil"/>
                    <w:tr2bl w:val="nil"/>
                  </w:tcBorders>
                  <w:shd w:val="clear" w:color="auto" w:fill="auto"/>
                  <w:vAlign w:val="center"/>
                </w:tcPr>
                <w:p w14:paraId="4E20C157">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32.34</w:t>
                  </w:r>
                </w:p>
              </w:tc>
              <w:tc>
                <w:tcPr>
                  <w:tcW w:w="727" w:type="dxa"/>
                  <w:tcBorders>
                    <w:tl2br w:val="nil"/>
                    <w:tr2bl w:val="nil"/>
                  </w:tcBorders>
                  <w:shd w:val="clear" w:color="auto" w:fill="auto"/>
                  <w:vAlign w:val="center"/>
                </w:tcPr>
                <w:p w14:paraId="00409FEB">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60.706</w:t>
                  </w:r>
                </w:p>
              </w:tc>
              <w:tc>
                <w:tcPr>
                  <w:tcW w:w="751" w:type="dxa"/>
                  <w:tcBorders>
                    <w:tl2br w:val="nil"/>
                    <w:tr2bl w:val="nil"/>
                  </w:tcBorders>
                  <w:shd w:val="clear" w:color="auto" w:fill="auto"/>
                  <w:vAlign w:val="center"/>
                </w:tcPr>
                <w:p w14:paraId="0B578934">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54.328</w:t>
                  </w:r>
                </w:p>
              </w:tc>
              <w:tc>
                <w:tcPr>
                  <w:tcW w:w="679" w:type="dxa"/>
                  <w:tcBorders>
                    <w:tl2br w:val="nil"/>
                    <w:tr2bl w:val="nil"/>
                  </w:tcBorders>
                  <w:shd w:val="clear" w:color="auto" w:fill="auto"/>
                  <w:vAlign w:val="center"/>
                </w:tcPr>
                <w:p w14:paraId="1DF2DCBD">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0.006</w:t>
                  </w:r>
                </w:p>
              </w:tc>
              <w:tc>
                <w:tcPr>
                  <w:tcW w:w="713" w:type="dxa"/>
                  <w:tcBorders>
                    <w:tl2br w:val="nil"/>
                    <w:tr2bl w:val="nil"/>
                  </w:tcBorders>
                  <w:shd w:val="clear" w:color="auto" w:fill="auto"/>
                  <w:vAlign w:val="center"/>
                </w:tcPr>
                <w:p w14:paraId="3CD10876">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0.028</w:t>
                  </w:r>
                </w:p>
              </w:tc>
              <w:tc>
                <w:tcPr>
                  <w:tcW w:w="849" w:type="dxa"/>
                  <w:tcBorders>
                    <w:tl2br w:val="nil"/>
                    <w:tr2bl w:val="nil"/>
                  </w:tcBorders>
                  <w:vAlign w:val="center"/>
                </w:tcPr>
                <w:p w14:paraId="3F676978">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vAlign w:val="center"/>
                </w:tcPr>
                <w:p w14:paraId="456593C0">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02E18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shd w:val="clear" w:color="auto" w:fill="auto"/>
                  <w:vAlign w:val="center"/>
                </w:tcPr>
                <w:p w14:paraId="7445444D">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4</w:t>
                  </w:r>
                </w:p>
              </w:tc>
              <w:tc>
                <w:tcPr>
                  <w:tcW w:w="1695" w:type="dxa"/>
                  <w:tcBorders>
                    <w:tl2br w:val="nil"/>
                    <w:tr2bl w:val="nil"/>
                  </w:tcBorders>
                  <w:shd w:val="clear" w:color="auto" w:fill="auto"/>
                  <w:vAlign w:val="center"/>
                </w:tcPr>
                <w:p w14:paraId="01C84E81">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lang w:val="en-US" w:eastAsia="zh-CN"/>
                      <w14:textFill>
                        <w14:solidFill>
                          <w14:schemeClr w14:val="tx1"/>
                        </w14:solidFill>
                      </w14:textFill>
                    </w:rPr>
                    <w:t>北厂界</w:t>
                  </w:r>
                </w:p>
              </w:tc>
              <w:tc>
                <w:tcPr>
                  <w:tcW w:w="751" w:type="dxa"/>
                  <w:tcBorders>
                    <w:tl2br w:val="nil"/>
                    <w:tr2bl w:val="nil"/>
                  </w:tcBorders>
                  <w:shd w:val="clear" w:color="auto" w:fill="auto"/>
                  <w:vAlign w:val="center"/>
                </w:tcPr>
                <w:p w14:paraId="59D95DB5">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t>53.1</w:t>
                  </w:r>
                </w:p>
              </w:tc>
              <w:tc>
                <w:tcPr>
                  <w:tcW w:w="690" w:type="dxa"/>
                  <w:tcBorders>
                    <w:tl2br w:val="nil"/>
                    <w:tr2bl w:val="nil"/>
                  </w:tcBorders>
                  <w:shd w:val="clear" w:color="auto" w:fill="auto"/>
                  <w:vAlign w:val="center"/>
                </w:tcPr>
                <w:p w14:paraId="4767CA05">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t>46.7</w:t>
                  </w:r>
                </w:p>
              </w:tc>
              <w:tc>
                <w:tcPr>
                  <w:tcW w:w="751" w:type="dxa"/>
                  <w:tcBorders>
                    <w:tl2br w:val="nil"/>
                    <w:tr2bl w:val="nil"/>
                  </w:tcBorders>
                  <w:shd w:val="clear" w:color="auto" w:fill="auto"/>
                  <w:vAlign w:val="center"/>
                </w:tcPr>
                <w:p w14:paraId="2D2817FA">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t>53.1</w:t>
                  </w:r>
                </w:p>
              </w:tc>
              <w:tc>
                <w:tcPr>
                  <w:tcW w:w="703" w:type="dxa"/>
                  <w:tcBorders>
                    <w:tl2br w:val="nil"/>
                    <w:tr2bl w:val="nil"/>
                  </w:tcBorders>
                  <w:shd w:val="clear" w:color="auto" w:fill="auto"/>
                  <w:vAlign w:val="center"/>
                </w:tcPr>
                <w:p w14:paraId="37ACEB33">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t>46.7</w:t>
                  </w:r>
                </w:p>
              </w:tc>
              <w:tc>
                <w:tcPr>
                  <w:tcW w:w="738" w:type="dxa"/>
                  <w:tcBorders>
                    <w:tl2br w:val="nil"/>
                    <w:tr2bl w:val="nil"/>
                  </w:tcBorders>
                  <w:shd w:val="clear" w:color="auto" w:fill="auto"/>
                  <w:vAlign w:val="center"/>
                </w:tcPr>
                <w:p w14:paraId="4575960D">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60</w:t>
                  </w:r>
                </w:p>
              </w:tc>
              <w:tc>
                <w:tcPr>
                  <w:tcW w:w="738" w:type="dxa"/>
                  <w:tcBorders>
                    <w:tl2br w:val="nil"/>
                    <w:tr2bl w:val="nil"/>
                  </w:tcBorders>
                  <w:shd w:val="clear" w:color="auto" w:fill="auto"/>
                  <w:vAlign w:val="center"/>
                </w:tcPr>
                <w:p w14:paraId="0AF8A76A">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50</w:t>
                  </w:r>
                </w:p>
              </w:tc>
              <w:tc>
                <w:tcPr>
                  <w:tcW w:w="763" w:type="dxa"/>
                  <w:tcBorders>
                    <w:tl2br w:val="nil"/>
                    <w:tr2bl w:val="nil"/>
                  </w:tcBorders>
                  <w:shd w:val="clear" w:color="auto" w:fill="auto"/>
                  <w:vAlign w:val="center"/>
                </w:tcPr>
                <w:p w14:paraId="20EBA539">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27.36</w:t>
                  </w:r>
                </w:p>
              </w:tc>
              <w:tc>
                <w:tcPr>
                  <w:tcW w:w="679" w:type="dxa"/>
                  <w:tcBorders>
                    <w:tl2br w:val="nil"/>
                    <w:tr2bl w:val="nil"/>
                  </w:tcBorders>
                  <w:shd w:val="clear" w:color="auto" w:fill="auto"/>
                  <w:vAlign w:val="center"/>
                </w:tcPr>
                <w:p w14:paraId="58DA6018">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27.36</w:t>
                  </w:r>
                </w:p>
              </w:tc>
              <w:tc>
                <w:tcPr>
                  <w:tcW w:w="727" w:type="dxa"/>
                  <w:tcBorders>
                    <w:tl2br w:val="nil"/>
                    <w:tr2bl w:val="nil"/>
                  </w:tcBorders>
                  <w:shd w:val="clear" w:color="auto" w:fill="auto"/>
                  <w:vAlign w:val="center"/>
                </w:tcPr>
                <w:p w14:paraId="483235F6">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53.112</w:t>
                  </w:r>
                </w:p>
              </w:tc>
              <w:tc>
                <w:tcPr>
                  <w:tcW w:w="751" w:type="dxa"/>
                  <w:tcBorders>
                    <w:tl2br w:val="nil"/>
                    <w:tr2bl w:val="nil"/>
                  </w:tcBorders>
                  <w:shd w:val="clear" w:color="auto" w:fill="auto"/>
                  <w:vAlign w:val="center"/>
                </w:tcPr>
                <w:p w14:paraId="0E7E2FB5">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46.750</w:t>
                  </w:r>
                </w:p>
              </w:tc>
              <w:tc>
                <w:tcPr>
                  <w:tcW w:w="679" w:type="dxa"/>
                  <w:tcBorders>
                    <w:tl2br w:val="nil"/>
                    <w:tr2bl w:val="nil"/>
                  </w:tcBorders>
                  <w:shd w:val="clear" w:color="auto" w:fill="auto"/>
                  <w:vAlign w:val="center"/>
                </w:tcPr>
                <w:p w14:paraId="54F28D2F">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0.012</w:t>
                  </w:r>
                </w:p>
              </w:tc>
              <w:tc>
                <w:tcPr>
                  <w:tcW w:w="713" w:type="dxa"/>
                  <w:tcBorders>
                    <w:tl2br w:val="nil"/>
                    <w:tr2bl w:val="nil"/>
                  </w:tcBorders>
                  <w:shd w:val="clear" w:color="auto" w:fill="auto"/>
                  <w:vAlign w:val="center"/>
                </w:tcPr>
                <w:p w14:paraId="6D87CD2D">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0.050</w:t>
                  </w:r>
                </w:p>
              </w:tc>
              <w:tc>
                <w:tcPr>
                  <w:tcW w:w="849" w:type="dxa"/>
                  <w:tcBorders>
                    <w:tl2br w:val="nil"/>
                    <w:tr2bl w:val="nil"/>
                  </w:tcBorders>
                  <w:vAlign w:val="center"/>
                </w:tcPr>
                <w:p w14:paraId="755433E8">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vAlign w:val="center"/>
                </w:tcPr>
                <w:p w14:paraId="19528C28">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162D8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vAlign w:val="center"/>
                </w:tcPr>
                <w:p w14:paraId="0CA30948">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w:t>
                  </w:r>
                </w:p>
              </w:tc>
              <w:tc>
                <w:tcPr>
                  <w:tcW w:w="1695" w:type="dxa"/>
                  <w:tcBorders>
                    <w:tl2br w:val="nil"/>
                    <w:tr2bl w:val="nil"/>
                  </w:tcBorders>
                  <w:shd w:val="clear" w:color="auto" w:fill="auto"/>
                  <w:vAlign w:val="center"/>
                </w:tcPr>
                <w:p w14:paraId="13AF63BC">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平运路33号</w:t>
                  </w:r>
                </w:p>
              </w:tc>
              <w:tc>
                <w:tcPr>
                  <w:tcW w:w="751" w:type="dxa"/>
                  <w:tcBorders>
                    <w:tl2br w:val="nil"/>
                    <w:tr2bl w:val="nil"/>
                  </w:tcBorders>
                  <w:shd w:val="clear" w:color="auto" w:fill="auto"/>
                  <w:vAlign w:val="center"/>
                </w:tcPr>
                <w:p w14:paraId="780B4A65">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52.7</w:t>
                  </w:r>
                </w:p>
              </w:tc>
              <w:tc>
                <w:tcPr>
                  <w:tcW w:w="690" w:type="dxa"/>
                  <w:tcBorders>
                    <w:tl2br w:val="nil"/>
                    <w:tr2bl w:val="nil"/>
                  </w:tcBorders>
                  <w:shd w:val="clear" w:color="auto" w:fill="auto"/>
                  <w:vAlign w:val="center"/>
                </w:tcPr>
                <w:p w14:paraId="006572D4">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45.7</w:t>
                  </w:r>
                </w:p>
              </w:tc>
              <w:tc>
                <w:tcPr>
                  <w:tcW w:w="751" w:type="dxa"/>
                  <w:tcBorders>
                    <w:tl2br w:val="nil"/>
                    <w:tr2bl w:val="nil"/>
                  </w:tcBorders>
                  <w:shd w:val="clear" w:color="auto" w:fill="auto"/>
                  <w:vAlign w:val="center"/>
                </w:tcPr>
                <w:p w14:paraId="781CF451">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52.7</w:t>
                  </w:r>
                </w:p>
              </w:tc>
              <w:tc>
                <w:tcPr>
                  <w:tcW w:w="703" w:type="dxa"/>
                  <w:tcBorders>
                    <w:tl2br w:val="nil"/>
                    <w:tr2bl w:val="nil"/>
                  </w:tcBorders>
                  <w:shd w:val="clear" w:color="auto" w:fill="auto"/>
                  <w:vAlign w:val="center"/>
                </w:tcPr>
                <w:p w14:paraId="7EDEB33F">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45.7</w:t>
                  </w:r>
                </w:p>
              </w:tc>
              <w:tc>
                <w:tcPr>
                  <w:tcW w:w="738" w:type="dxa"/>
                  <w:tcBorders>
                    <w:tl2br w:val="nil"/>
                    <w:tr2bl w:val="nil"/>
                  </w:tcBorders>
                  <w:shd w:val="clear" w:color="auto" w:fill="auto"/>
                  <w:vAlign w:val="center"/>
                </w:tcPr>
                <w:p w14:paraId="0DB61BF7">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60</w:t>
                  </w:r>
                </w:p>
              </w:tc>
              <w:tc>
                <w:tcPr>
                  <w:tcW w:w="738" w:type="dxa"/>
                  <w:tcBorders>
                    <w:tl2br w:val="nil"/>
                    <w:tr2bl w:val="nil"/>
                  </w:tcBorders>
                  <w:shd w:val="clear" w:color="auto" w:fill="auto"/>
                  <w:vAlign w:val="center"/>
                </w:tcPr>
                <w:p w14:paraId="55DA43ED">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50</w:t>
                  </w:r>
                </w:p>
              </w:tc>
              <w:tc>
                <w:tcPr>
                  <w:tcW w:w="763" w:type="dxa"/>
                  <w:tcBorders>
                    <w:tl2br w:val="nil"/>
                    <w:tr2bl w:val="nil"/>
                  </w:tcBorders>
                  <w:shd w:val="clear" w:color="auto" w:fill="auto"/>
                  <w:vAlign w:val="center"/>
                </w:tcPr>
                <w:p w14:paraId="3B6F8A60">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18.57</w:t>
                  </w:r>
                </w:p>
              </w:tc>
              <w:tc>
                <w:tcPr>
                  <w:tcW w:w="679" w:type="dxa"/>
                  <w:tcBorders>
                    <w:tl2br w:val="nil"/>
                    <w:tr2bl w:val="nil"/>
                  </w:tcBorders>
                  <w:shd w:val="clear" w:color="auto" w:fill="auto"/>
                  <w:vAlign w:val="center"/>
                </w:tcPr>
                <w:p w14:paraId="513D49D7">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18.57</w:t>
                  </w:r>
                </w:p>
              </w:tc>
              <w:tc>
                <w:tcPr>
                  <w:tcW w:w="727" w:type="dxa"/>
                  <w:tcBorders>
                    <w:tl2br w:val="nil"/>
                    <w:tr2bl w:val="nil"/>
                  </w:tcBorders>
                  <w:shd w:val="clear" w:color="auto" w:fill="auto"/>
                  <w:vAlign w:val="center"/>
                </w:tcPr>
                <w:p w14:paraId="6378869F">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53.401</w:t>
                  </w:r>
                </w:p>
              </w:tc>
              <w:tc>
                <w:tcPr>
                  <w:tcW w:w="751" w:type="dxa"/>
                  <w:tcBorders>
                    <w:tl2br w:val="nil"/>
                    <w:tr2bl w:val="nil"/>
                  </w:tcBorders>
                  <w:shd w:val="clear" w:color="auto" w:fill="auto"/>
                  <w:vAlign w:val="center"/>
                </w:tcPr>
                <w:p w14:paraId="35F2573F">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43.215</w:t>
                  </w:r>
                </w:p>
              </w:tc>
              <w:tc>
                <w:tcPr>
                  <w:tcW w:w="679" w:type="dxa"/>
                  <w:tcBorders>
                    <w:tl2br w:val="nil"/>
                    <w:tr2bl w:val="nil"/>
                  </w:tcBorders>
                  <w:shd w:val="clear" w:color="auto" w:fill="auto"/>
                  <w:vAlign w:val="center"/>
                </w:tcPr>
                <w:p w14:paraId="2AE8FD65">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0.001</w:t>
                  </w:r>
                </w:p>
              </w:tc>
              <w:tc>
                <w:tcPr>
                  <w:tcW w:w="713" w:type="dxa"/>
                  <w:tcBorders>
                    <w:tl2br w:val="nil"/>
                    <w:tr2bl w:val="nil"/>
                  </w:tcBorders>
                  <w:shd w:val="clear" w:color="auto" w:fill="auto"/>
                  <w:vAlign w:val="center"/>
                </w:tcPr>
                <w:p w14:paraId="389D1ACB">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0.015</w:t>
                  </w:r>
                </w:p>
              </w:tc>
              <w:tc>
                <w:tcPr>
                  <w:tcW w:w="849" w:type="dxa"/>
                  <w:tcBorders>
                    <w:tl2br w:val="nil"/>
                    <w:tr2bl w:val="nil"/>
                  </w:tcBorders>
                  <w:shd w:val="clear" w:color="auto" w:fill="auto"/>
                  <w:vAlign w:val="center"/>
                </w:tcPr>
                <w:p w14:paraId="2FB7E659">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shd w:val="clear" w:color="auto" w:fill="auto"/>
                  <w:vAlign w:val="center"/>
                </w:tcPr>
                <w:p w14:paraId="1977B43C">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15A9E6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vAlign w:val="center"/>
                </w:tcPr>
                <w:p w14:paraId="72DE279E">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w:t>
                  </w:r>
                </w:p>
              </w:tc>
              <w:tc>
                <w:tcPr>
                  <w:tcW w:w="1695" w:type="dxa"/>
                  <w:tcBorders>
                    <w:tl2br w:val="nil"/>
                    <w:tr2bl w:val="nil"/>
                  </w:tcBorders>
                  <w:shd w:val="clear" w:color="auto" w:fill="auto"/>
                  <w:vAlign w:val="center"/>
                </w:tcPr>
                <w:p w14:paraId="6BFCB7DD">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平运路37号</w:t>
                  </w:r>
                </w:p>
              </w:tc>
              <w:tc>
                <w:tcPr>
                  <w:tcW w:w="751" w:type="dxa"/>
                  <w:tcBorders>
                    <w:tl2br w:val="nil"/>
                    <w:tr2bl w:val="nil"/>
                  </w:tcBorders>
                  <w:shd w:val="clear" w:color="auto" w:fill="auto"/>
                  <w:vAlign w:val="center"/>
                </w:tcPr>
                <w:p w14:paraId="4D4C0F69">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54.6</w:t>
                  </w:r>
                </w:p>
              </w:tc>
              <w:tc>
                <w:tcPr>
                  <w:tcW w:w="690" w:type="dxa"/>
                  <w:tcBorders>
                    <w:tl2br w:val="nil"/>
                    <w:tr2bl w:val="nil"/>
                  </w:tcBorders>
                  <w:shd w:val="clear" w:color="auto" w:fill="auto"/>
                  <w:vAlign w:val="center"/>
                </w:tcPr>
                <w:p w14:paraId="6EA31524">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42.9</w:t>
                  </w:r>
                </w:p>
              </w:tc>
              <w:tc>
                <w:tcPr>
                  <w:tcW w:w="751" w:type="dxa"/>
                  <w:tcBorders>
                    <w:tl2br w:val="nil"/>
                    <w:tr2bl w:val="nil"/>
                  </w:tcBorders>
                  <w:shd w:val="clear" w:color="auto" w:fill="auto"/>
                  <w:vAlign w:val="center"/>
                </w:tcPr>
                <w:p w14:paraId="1BF7F467">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54.6</w:t>
                  </w:r>
                </w:p>
              </w:tc>
              <w:tc>
                <w:tcPr>
                  <w:tcW w:w="703" w:type="dxa"/>
                  <w:tcBorders>
                    <w:tl2br w:val="nil"/>
                    <w:tr2bl w:val="nil"/>
                  </w:tcBorders>
                  <w:shd w:val="clear" w:color="auto" w:fill="auto"/>
                  <w:vAlign w:val="center"/>
                </w:tcPr>
                <w:p w14:paraId="2E168145">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42.9</w:t>
                  </w:r>
                </w:p>
              </w:tc>
              <w:tc>
                <w:tcPr>
                  <w:tcW w:w="738" w:type="dxa"/>
                  <w:tcBorders>
                    <w:tl2br w:val="nil"/>
                    <w:tr2bl w:val="nil"/>
                  </w:tcBorders>
                  <w:shd w:val="clear" w:color="auto" w:fill="auto"/>
                  <w:vAlign w:val="center"/>
                </w:tcPr>
                <w:p w14:paraId="0721FE8F">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60</w:t>
                  </w:r>
                </w:p>
              </w:tc>
              <w:tc>
                <w:tcPr>
                  <w:tcW w:w="738" w:type="dxa"/>
                  <w:tcBorders>
                    <w:tl2br w:val="nil"/>
                    <w:tr2bl w:val="nil"/>
                  </w:tcBorders>
                  <w:shd w:val="clear" w:color="auto" w:fill="auto"/>
                  <w:vAlign w:val="center"/>
                </w:tcPr>
                <w:p w14:paraId="1D92FBE6">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50</w:t>
                  </w:r>
                </w:p>
              </w:tc>
              <w:tc>
                <w:tcPr>
                  <w:tcW w:w="763" w:type="dxa"/>
                  <w:tcBorders>
                    <w:tl2br w:val="nil"/>
                    <w:tr2bl w:val="nil"/>
                  </w:tcBorders>
                  <w:shd w:val="clear" w:color="auto" w:fill="auto"/>
                  <w:vAlign w:val="center"/>
                </w:tcPr>
                <w:p w14:paraId="66BD4FDD">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22.82</w:t>
                  </w:r>
                </w:p>
              </w:tc>
              <w:tc>
                <w:tcPr>
                  <w:tcW w:w="679" w:type="dxa"/>
                  <w:tcBorders>
                    <w:tl2br w:val="nil"/>
                    <w:tr2bl w:val="nil"/>
                  </w:tcBorders>
                  <w:shd w:val="clear" w:color="auto" w:fill="auto"/>
                  <w:vAlign w:val="center"/>
                </w:tcPr>
                <w:p w14:paraId="64E8C5BE">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22.82</w:t>
                  </w:r>
                </w:p>
              </w:tc>
              <w:tc>
                <w:tcPr>
                  <w:tcW w:w="727" w:type="dxa"/>
                  <w:tcBorders>
                    <w:tl2br w:val="nil"/>
                    <w:tr2bl w:val="nil"/>
                  </w:tcBorders>
                  <w:shd w:val="clear" w:color="auto" w:fill="auto"/>
                  <w:vAlign w:val="center"/>
                </w:tcPr>
                <w:p w14:paraId="537C3D2B">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52.704</w:t>
                  </w:r>
                </w:p>
              </w:tc>
              <w:tc>
                <w:tcPr>
                  <w:tcW w:w="751" w:type="dxa"/>
                  <w:tcBorders>
                    <w:tl2br w:val="nil"/>
                    <w:tr2bl w:val="nil"/>
                  </w:tcBorders>
                  <w:shd w:val="clear" w:color="auto" w:fill="auto"/>
                  <w:vAlign w:val="center"/>
                </w:tcPr>
                <w:p w14:paraId="2FC40AF0">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45.722</w:t>
                  </w:r>
                </w:p>
              </w:tc>
              <w:tc>
                <w:tcPr>
                  <w:tcW w:w="679" w:type="dxa"/>
                  <w:tcBorders>
                    <w:tl2br w:val="nil"/>
                    <w:tr2bl w:val="nil"/>
                  </w:tcBorders>
                  <w:shd w:val="clear" w:color="auto" w:fill="auto"/>
                  <w:vAlign w:val="center"/>
                </w:tcPr>
                <w:p w14:paraId="245BAA83">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0.004</w:t>
                  </w:r>
                </w:p>
              </w:tc>
              <w:tc>
                <w:tcPr>
                  <w:tcW w:w="713" w:type="dxa"/>
                  <w:tcBorders>
                    <w:tl2br w:val="nil"/>
                    <w:tr2bl w:val="nil"/>
                  </w:tcBorders>
                  <w:shd w:val="clear" w:color="auto" w:fill="auto"/>
                  <w:vAlign w:val="center"/>
                </w:tcPr>
                <w:p w14:paraId="6D4FA496">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0.022</w:t>
                  </w:r>
                </w:p>
              </w:tc>
              <w:tc>
                <w:tcPr>
                  <w:tcW w:w="849" w:type="dxa"/>
                  <w:tcBorders>
                    <w:tl2br w:val="nil"/>
                    <w:tr2bl w:val="nil"/>
                  </w:tcBorders>
                  <w:shd w:val="clear" w:color="auto" w:fill="auto"/>
                  <w:vAlign w:val="center"/>
                </w:tcPr>
                <w:p w14:paraId="73639845">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shd w:val="clear" w:color="auto" w:fill="auto"/>
                  <w:vAlign w:val="center"/>
                </w:tcPr>
                <w:p w14:paraId="10417575">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2D9C92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vAlign w:val="center"/>
                </w:tcPr>
                <w:p w14:paraId="3C60C83F">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7</w:t>
                  </w:r>
                </w:p>
              </w:tc>
              <w:tc>
                <w:tcPr>
                  <w:tcW w:w="1695" w:type="dxa"/>
                  <w:tcBorders>
                    <w:tl2br w:val="nil"/>
                    <w:tr2bl w:val="nil"/>
                  </w:tcBorders>
                  <w:shd w:val="clear" w:color="auto" w:fill="auto"/>
                  <w:vAlign w:val="center"/>
                </w:tcPr>
                <w:p w14:paraId="62B79BB9">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18"/>
                      <w:szCs w:val="18"/>
                      <w:highlight w:val="none"/>
                      <w14:textFill>
                        <w14:solidFill>
                          <w14:schemeClr w14:val="tx1"/>
                        </w14:solidFill>
                      </w14:textFill>
                    </w:rPr>
                    <w:t>南斯港社区</w:t>
                  </w:r>
                  <w:r>
                    <w:rPr>
                      <w:rFonts w:hint="eastAsia" w:cs="Times New Roman"/>
                      <w:b w:val="0"/>
                      <w:bCs/>
                      <w:color w:val="000000" w:themeColor="text1"/>
                      <w:sz w:val="18"/>
                      <w:szCs w:val="18"/>
                      <w:highlight w:val="none"/>
                      <w:lang w:val="en-US" w:eastAsia="zh-CN"/>
                      <w14:textFill>
                        <w14:solidFill>
                          <w14:schemeClr w14:val="tx1"/>
                        </w14:solidFill>
                      </w14:textFill>
                    </w:rPr>
                    <w:t>散户</w:t>
                  </w:r>
                </w:p>
              </w:tc>
              <w:tc>
                <w:tcPr>
                  <w:tcW w:w="751" w:type="dxa"/>
                  <w:tcBorders>
                    <w:tl2br w:val="nil"/>
                    <w:tr2bl w:val="nil"/>
                  </w:tcBorders>
                  <w:shd w:val="clear" w:color="auto" w:fill="auto"/>
                  <w:vAlign w:val="center"/>
                </w:tcPr>
                <w:p w14:paraId="221DE595">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55.3</w:t>
                  </w:r>
                </w:p>
              </w:tc>
              <w:tc>
                <w:tcPr>
                  <w:tcW w:w="690" w:type="dxa"/>
                  <w:tcBorders>
                    <w:tl2br w:val="nil"/>
                    <w:tr2bl w:val="nil"/>
                  </w:tcBorders>
                  <w:shd w:val="clear" w:color="auto" w:fill="auto"/>
                  <w:vAlign w:val="center"/>
                </w:tcPr>
                <w:p w14:paraId="2C79AAD5">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45.4</w:t>
                  </w:r>
                </w:p>
              </w:tc>
              <w:tc>
                <w:tcPr>
                  <w:tcW w:w="751" w:type="dxa"/>
                  <w:tcBorders>
                    <w:tl2br w:val="nil"/>
                    <w:tr2bl w:val="nil"/>
                  </w:tcBorders>
                  <w:shd w:val="clear" w:color="auto" w:fill="auto"/>
                  <w:vAlign w:val="center"/>
                </w:tcPr>
                <w:p w14:paraId="2FEFAEBF">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55.3</w:t>
                  </w:r>
                </w:p>
              </w:tc>
              <w:tc>
                <w:tcPr>
                  <w:tcW w:w="703" w:type="dxa"/>
                  <w:tcBorders>
                    <w:tl2br w:val="nil"/>
                    <w:tr2bl w:val="nil"/>
                  </w:tcBorders>
                  <w:shd w:val="clear" w:color="auto" w:fill="auto"/>
                  <w:vAlign w:val="center"/>
                </w:tcPr>
                <w:p w14:paraId="6212AF1F">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color w:val="000000" w:themeColor="text1"/>
                      <w:kern w:val="0"/>
                      <w:sz w:val="18"/>
                      <w:szCs w:val="18"/>
                      <w:highlight w:val="none"/>
                      <w:lang w:val="en-US" w:eastAsia="zh-CN"/>
                      <w14:textFill>
                        <w14:solidFill>
                          <w14:schemeClr w14:val="tx1"/>
                        </w14:solidFill>
                      </w14:textFill>
                    </w:rPr>
                    <w:t>45.4</w:t>
                  </w:r>
                </w:p>
              </w:tc>
              <w:tc>
                <w:tcPr>
                  <w:tcW w:w="738" w:type="dxa"/>
                  <w:tcBorders>
                    <w:tl2br w:val="nil"/>
                    <w:tr2bl w:val="nil"/>
                  </w:tcBorders>
                  <w:shd w:val="clear" w:color="auto" w:fill="auto"/>
                  <w:vAlign w:val="center"/>
                </w:tcPr>
                <w:p w14:paraId="6178B4FF">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60</w:t>
                  </w:r>
                </w:p>
              </w:tc>
              <w:tc>
                <w:tcPr>
                  <w:tcW w:w="738" w:type="dxa"/>
                  <w:tcBorders>
                    <w:tl2br w:val="nil"/>
                    <w:tr2bl w:val="nil"/>
                  </w:tcBorders>
                  <w:shd w:val="clear" w:color="auto" w:fill="auto"/>
                  <w:vAlign w:val="center"/>
                </w:tcPr>
                <w:p w14:paraId="7C0473BB">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50</w:t>
                  </w:r>
                </w:p>
              </w:tc>
              <w:tc>
                <w:tcPr>
                  <w:tcW w:w="763" w:type="dxa"/>
                  <w:tcBorders>
                    <w:tl2br w:val="nil"/>
                    <w:tr2bl w:val="nil"/>
                  </w:tcBorders>
                  <w:shd w:val="clear" w:color="auto" w:fill="auto"/>
                  <w:vAlign w:val="center"/>
                </w:tcPr>
                <w:p w14:paraId="0241C207">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28.80</w:t>
                  </w:r>
                </w:p>
              </w:tc>
              <w:tc>
                <w:tcPr>
                  <w:tcW w:w="679" w:type="dxa"/>
                  <w:tcBorders>
                    <w:tl2br w:val="nil"/>
                    <w:tr2bl w:val="nil"/>
                  </w:tcBorders>
                  <w:shd w:val="clear" w:color="auto" w:fill="auto"/>
                  <w:vAlign w:val="center"/>
                </w:tcPr>
                <w:p w14:paraId="6F63FD49">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28.80</w:t>
                  </w:r>
                </w:p>
              </w:tc>
              <w:tc>
                <w:tcPr>
                  <w:tcW w:w="727" w:type="dxa"/>
                  <w:tcBorders>
                    <w:tl2br w:val="nil"/>
                    <w:tr2bl w:val="nil"/>
                  </w:tcBorders>
                  <w:shd w:val="clear" w:color="auto" w:fill="auto"/>
                  <w:vAlign w:val="center"/>
                </w:tcPr>
                <w:p w14:paraId="44793B39">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54.611</w:t>
                  </w:r>
                </w:p>
              </w:tc>
              <w:tc>
                <w:tcPr>
                  <w:tcW w:w="751" w:type="dxa"/>
                  <w:tcBorders>
                    <w:tl2br w:val="nil"/>
                    <w:tr2bl w:val="nil"/>
                  </w:tcBorders>
                  <w:shd w:val="clear" w:color="auto" w:fill="auto"/>
                  <w:vAlign w:val="center"/>
                </w:tcPr>
                <w:p w14:paraId="4CEB8837">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43.066</w:t>
                  </w:r>
                </w:p>
              </w:tc>
              <w:tc>
                <w:tcPr>
                  <w:tcW w:w="679" w:type="dxa"/>
                  <w:tcBorders>
                    <w:tl2br w:val="nil"/>
                    <w:tr2bl w:val="nil"/>
                  </w:tcBorders>
                  <w:shd w:val="clear" w:color="auto" w:fill="auto"/>
                  <w:vAlign w:val="center"/>
                </w:tcPr>
                <w:p w14:paraId="78EA2BF6">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0.011</w:t>
                  </w:r>
                </w:p>
              </w:tc>
              <w:tc>
                <w:tcPr>
                  <w:tcW w:w="713" w:type="dxa"/>
                  <w:tcBorders>
                    <w:tl2br w:val="nil"/>
                    <w:tr2bl w:val="nil"/>
                  </w:tcBorders>
                  <w:shd w:val="clear" w:color="auto" w:fill="auto"/>
                  <w:vAlign w:val="center"/>
                </w:tcPr>
                <w:p w14:paraId="0902C5B0">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0.166</w:t>
                  </w:r>
                </w:p>
              </w:tc>
              <w:tc>
                <w:tcPr>
                  <w:tcW w:w="849" w:type="dxa"/>
                  <w:tcBorders>
                    <w:tl2br w:val="nil"/>
                    <w:tr2bl w:val="nil"/>
                  </w:tcBorders>
                  <w:shd w:val="clear" w:color="auto" w:fill="auto"/>
                  <w:vAlign w:val="center"/>
                </w:tcPr>
                <w:p w14:paraId="3991D78D">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shd w:val="clear" w:color="auto" w:fill="auto"/>
                  <w:vAlign w:val="center"/>
                </w:tcPr>
                <w:p w14:paraId="607551CF">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r w14:paraId="31F6DE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0" w:type="dxa"/>
                  <w:tcBorders>
                    <w:tl2br w:val="nil"/>
                    <w:tr2bl w:val="nil"/>
                  </w:tcBorders>
                  <w:vAlign w:val="center"/>
                </w:tcPr>
                <w:p w14:paraId="1CFD6130">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8</w:t>
                  </w:r>
                </w:p>
              </w:tc>
              <w:tc>
                <w:tcPr>
                  <w:tcW w:w="1695" w:type="dxa"/>
                  <w:tcBorders>
                    <w:tl2br w:val="nil"/>
                    <w:tr2bl w:val="nil"/>
                  </w:tcBorders>
                  <w:shd w:val="clear" w:color="auto" w:fill="auto"/>
                  <w:vAlign w:val="center"/>
                </w:tcPr>
                <w:p w14:paraId="25638FAF">
                  <w:pPr>
                    <w:keepNext w:val="0"/>
                    <w:keepLines w:val="0"/>
                    <w:pageBreakBefore w:val="0"/>
                    <w:kinsoku/>
                    <w:wordWrap/>
                    <w:overflowPunct/>
                    <w:topLinePunct w:val="0"/>
                    <w:bidi w:val="0"/>
                    <w:adjustRightInd w:val="0"/>
                    <w:snapToGrid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lang w:val="en-US" w:eastAsia="zh-CN" w:bidi="ar-SA"/>
                      <w14:textFill>
                        <w14:solidFill>
                          <w14:schemeClr w14:val="tx1"/>
                        </w14:solidFill>
                      </w14:textFill>
                    </w:rPr>
                  </w:pPr>
                  <w:r>
                    <w:rPr>
                      <w:rFonts w:hint="eastAsia" w:cs="Times New Roman"/>
                      <w:b w:val="0"/>
                      <w:bCs/>
                      <w:color w:val="000000" w:themeColor="text1"/>
                      <w:sz w:val="18"/>
                      <w:szCs w:val="18"/>
                      <w:highlight w:val="none"/>
                      <w:lang w:val="en-US" w:eastAsia="zh-CN"/>
                      <w14:textFill>
                        <w14:solidFill>
                          <w14:schemeClr w14:val="tx1"/>
                        </w14:solidFill>
                      </w14:textFill>
                    </w:rPr>
                    <w:t>平运路三弄</w:t>
                  </w:r>
                </w:p>
              </w:tc>
              <w:tc>
                <w:tcPr>
                  <w:tcW w:w="751" w:type="dxa"/>
                  <w:tcBorders>
                    <w:tl2br w:val="nil"/>
                    <w:tr2bl w:val="nil"/>
                  </w:tcBorders>
                  <w:shd w:val="clear" w:color="auto" w:fill="auto"/>
                  <w:vAlign w:val="center"/>
                </w:tcPr>
                <w:p w14:paraId="431CBBC5">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53.4</w:t>
                  </w:r>
                </w:p>
              </w:tc>
              <w:tc>
                <w:tcPr>
                  <w:tcW w:w="690" w:type="dxa"/>
                  <w:tcBorders>
                    <w:tl2br w:val="nil"/>
                    <w:tr2bl w:val="nil"/>
                  </w:tcBorders>
                  <w:shd w:val="clear" w:color="auto" w:fill="auto"/>
                  <w:vAlign w:val="center"/>
                </w:tcPr>
                <w:p w14:paraId="58681A56">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43.2</w:t>
                  </w:r>
                </w:p>
              </w:tc>
              <w:tc>
                <w:tcPr>
                  <w:tcW w:w="751" w:type="dxa"/>
                  <w:tcBorders>
                    <w:tl2br w:val="nil"/>
                    <w:tr2bl w:val="nil"/>
                  </w:tcBorders>
                  <w:shd w:val="clear" w:color="auto" w:fill="auto"/>
                  <w:vAlign w:val="center"/>
                </w:tcPr>
                <w:p w14:paraId="1C49E221">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53.4</w:t>
                  </w:r>
                </w:p>
              </w:tc>
              <w:tc>
                <w:tcPr>
                  <w:tcW w:w="703" w:type="dxa"/>
                  <w:tcBorders>
                    <w:tl2br w:val="nil"/>
                    <w:tr2bl w:val="nil"/>
                  </w:tcBorders>
                  <w:shd w:val="clear" w:color="auto" w:fill="auto"/>
                  <w:vAlign w:val="center"/>
                </w:tcPr>
                <w:p w14:paraId="3FDC561A">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b w:val="0"/>
                      <w:bCs/>
                      <w:color w:val="000000" w:themeColor="text1"/>
                      <w:kern w:val="0"/>
                      <w:sz w:val="18"/>
                      <w:szCs w:val="18"/>
                      <w:highlight w:val="none"/>
                      <w:lang w:val="en-US" w:eastAsia="zh-CN"/>
                      <w14:textFill>
                        <w14:solidFill>
                          <w14:schemeClr w14:val="tx1"/>
                        </w14:solidFill>
                      </w14:textFill>
                    </w:rPr>
                    <w:t>43.2</w:t>
                  </w:r>
                </w:p>
              </w:tc>
              <w:tc>
                <w:tcPr>
                  <w:tcW w:w="738" w:type="dxa"/>
                  <w:tcBorders>
                    <w:tl2br w:val="nil"/>
                    <w:tr2bl w:val="nil"/>
                  </w:tcBorders>
                  <w:shd w:val="clear" w:color="auto" w:fill="auto"/>
                  <w:vAlign w:val="center"/>
                </w:tcPr>
                <w:p w14:paraId="528339E2">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60</w:t>
                  </w:r>
                </w:p>
              </w:tc>
              <w:tc>
                <w:tcPr>
                  <w:tcW w:w="738" w:type="dxa"/>
                  <w:tcBorders>
                    <w:tl2br w:val="nil"/>
                    <w:tr2bl w:val="nil"/>
                  </w:tcBorders>
                  <w:shd w:val="clear" w:color="auto" w:fill="auto"/>
                  <w:vAlign w:val="center"/>
                </w:tcPr>
                <w:p w14:paraId="00CBD136">
                  <w:pPr>
                    <w:pStyle w:val="45"/>
                    <w:keepNext w:val="0"/>
                    <w:keepLines w:val="0"/>
                    <w:pageBreakBefore w:val="0"/>
                    <w:kinsoku/>
                    <w:wordWrap/>
                    <w:overflowPunct/>
                    <w:topLinePunct w:val="0"/>
                    <w:bidi w:val="0"/>
                    <w:spacing w:line="240" w:lineRule="auto"/>
                    <w:ind w:left="-105" w:leftChars="-50" w:right="-105" w:rightChars="-50"/>
                    <w:jc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50</w:t>
                  </w:r>
                </w:p>
              </w:tc>
              <w:tc>
                <w:tcPr>
                  <w:tcW w:w="763" w:type="dxa"/>
                  <w:tcBorders>
                    <w:tl2br w:val="nil"/>
                    <w:tr2bl w:val="nil"/>
                  </w:tcBorders>
                  <w:shd w:val="clear" w:color="auto" w:fill="auto"/>
                  <w:vAlign w:val="center"/>
                </w:tcPr>
                <w:p w14:paraId="70072000">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16.18</w:t>
                  </w:r>
                </w:p>
              </w:tc>
              <w:tc>
                <w:tcPr>
                  <w:tcW w:w="679" w:type="dxa"/>
                  <w:tcBorders>
                    <w:tl2br w:val="nil"/>
                    <w:tr2bl w:val="nil"/>
                  </w:tcBorders>
                  <w:shd w:val="clear" w:color="auto" w:fill="auto"/>
                  <w:vAlign w:val="center"/>
                </w:tcPr>
                <w:p w14:paraId="76327592">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16.18</w:t>
                  </w:r>
                </w:p>
              </w:tc>
              <w:tc>
                <w:tcPr>
                  <w:tcW w:w="727" w:type="dxa"/>
                  <w:tcBorders>
                    <w:tl2br w:val="nil"/>
                    <w:tr2bl w:val="nil"/>
                  </w:tcBorders>
                  <w:shd w:val="clear" w:color="auto" w:fill="auto"/>
                  <w:vAlign w:val="center"/>
                </w:tcPr>
                <w:p w14:paraId="06F31D1C">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55.301</w:t>
                  </w:r>
                </w:p>
              </w:tc>
              <w:tc>
                <w:tcPr>
                  <w:tcW w:w="751" w:type="dxa"/>
                  <w:tcBorders>
                    <w:tl2br w:val="nil"/>
                    <w:tr2bl w:val="nil"/>
                  </w:tcBorders>
                  <w:shd w:val="clear" w:color="auto" w:fill="auto"/>
                  <w:vAlign w:val="center"/>
                </w:tcPr>
                <w:p w14:paraId="17F1A8DA">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45.405</w:t>
                  </w:r>
                </w:p>
              </w:tc>
              <w:tc>
                <w:tcPr>
                  <w:tcW w:w="679" w:type="dxa"/>
                  <w:tcBorders>
                    <w:tl2br w:val="nil"/>
                    <w:tr2bl w:val="nil"/>
                  </w:tcBorders>
                  <w:shd w:val="clear" w:color="auto" w:fill="auto"/>
                  <w:vAlign w:val="center"/>
                </w:tcPr>
                <w:p w14:paraId="63D2B70B">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0.001</w:t>
                  </w:r>
                </w:p>
              </w:tc>
              <w:tc>
                <w:tcPr>
                  <w:tcW w:w="713" w:type="dxa"/>
                  <w:tcBorders>
                    <w:tl2br w:val="nil"/>
                    <w:tr2bl w:val="nil"/>
                  </w:tcBorders>
                  <w:shd w:val="clear" w:color="auto" w:fill="auto"/>
                  <w:vAlign w:val="center"/>
                </w:tcPr>
                <w:p w14:paraId="14A37C67">
                  <w:pPr>
                    <w:keepNext w:val="0"/>
                    <w:keepLines w:val="0"/>
                    <w:pageBreakBefore w:val="0"/>
                    <w:widowControl/>
                    <w:suppressLineNumbers w:val="0"/>
                    <w:kinsoku/>
                    <w:wordWrap/>
                    <w:overflowPunct/>
                    <w:topLinePunct w:val="0"/>
                    <w:bidi w:val="0"/>
                    <w:adjustRightInd/>
                    <w:snapToGrid/>
                    <w:ind w:left="-105" w:leftChars="-50" w:right="-105" w:rightChars="-50"/>
                    <w:jc w:val="center"/>
                    <w:textAlignment w:val="center"/>
                    <w:rPr>
                      <w:rFonts w:hint="default"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highlight w:val="none"/>
                      <w:u w:val="none"/>
                      <w:lang w:val="en-US" w:eastAsia="zh-CN" w:bidi="ar"/>
                      <w14:textFill>
                        <w14:solidFill>
                          <w14:schemeClr w14:val="tx1"/>
                        </w14:solidFill>
                      </w14:textFill>
                    </w:rPr>
                    <w:t>0.005</w:t>
                  </w:r>
                </w:p>
              </w:tc>
              <w:tc>
                <w:tcPr>
                  <w:tcW w:w="849" w:type="dxa"/>
                  <w:tcBorders>
                    <w:tl2br w:val="nil"/>
                    <w:tr2bl w:val="nil"/>
                  </w:tcBorders>
                  <w:shd w:val="clear" w:color="auto" w:fill="auto"/>
                  <w:vAlign w:val="center"/>
                </w:tcPr>
                <w:p w14:paraId="67891322">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c>
                <w:tcPr>
                  <w:tcW w:w="817" w:type="dxa"/>
                  <w:tcBorders>
                    <w:tl2br w:val="nil"/>
                    <w:tr2bl w:val="nil"/>
                  </w:tcBorders>
                  <w:shd w:val="clear" w:color="auto" w:fill="auto"/>
                  <w:vAlign w:val="center"/>
                </w:tcPr>
                <w:p w14:paraId="5C42B386">
                  <w:pPr>
                    <w:pStyle w:val="45"/>
                    <w:keepNext w:val="0"/>
                    <w:keepLines w:val="0"/>
                    <w:pageBreakBefore w:val="0"/>
                    <w:kinsoku/>
                    <w:wordWrap/>
                    <w:overflowPunct/>
                    <w:topLinePunct w:val="0"/>
                    <w:bidi w:val="0"/>
                    <w:spacing w:line="240" w:lineRule="auto"/>
                    <w:ind w:left="-105" w:leftChars="-50" w:right="-105" w:rightChars="-50"/>
                    <w:jc w:val="center"/>
                    <w:rPr>
                      <w:rFonts w:hint="eastAsia" w:ascii="Times New Roman" w:hAnsi="Times New Roman" w:eastAsia="宋体" w:cs="Times New Roman"/>
                      <w:b w:val="0"/>
                      <w:bCs/>
                      <w:color w:val="000000" w:themeColor="text1"/>
                      <w:kern w:val="2"/>
                      <w:sz w:val="18"/>
                      <w:szCs w:val="18"/>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18"/>
                      <w:szCs w:val="18"/>
                      <w:highlight w:val="none"/>
                      <w:vertAlign w:val="baseline"/>
                      <w:lang w:val="en-US" w:eastAsia="zh-CN"/>
                      <w14:textFill>
                        <w14:solidFill>
                          <w14:schemeClr w14:val="tx1"/>
                        </w14:solidFill>
                      </w14:textFill>
                    </w:rPr>
                    <w:t>达标</w:t>
                  </w:r>
                </w:p>
              </w:tc>
            </w:tr>
          </w:tbl>
          <w:p w14:paraId="3817FFA7">
            <w:pPr>
              <w:pStyle w:val="4"/>
              <w:rPr>
                <w:rFonts w:hint="default"/>
                <w:color w:val="000000" w:themeColor="text1"/>
                <w:highlight w:val="none"/>
                <w14:textFill>
                  <w14:solidFill>
                    <w14:schemeClr w14:val="tx1"/>
                  </w14:solidFill>
                </w14:textFill>
              </w:rPr>
            </w:pPr>
          </w:p>
        </w:tc>
      </w:tr>
    </w:tbl>
    <w:p w14:paraId="30EF5C33">
      <w:pPr>
        <w:adjustRightInd w:val="0"/>
        <w:snapToGrid w:val="0"/>
        <w:jc w:val="center"/>
        <w:rPr>
          <w:rFonts w:hint="default" w:ascii="Times New Roman" w:hAnsi="Times New Roman" w:eastAsia="宋体" w:cs="Times New Roman"/>
          <w:bCs/>
          <w:color w:val="000000" w:themeColor="text1"/>
          <w:szCs w:val="21"/>
          <w:highlight w:val="none"/>
          <w14:textFill>
            <w14:solidFill>
              <w14:schemeClr w14:val="tx1"/>
            </w14:solidFill>
          </w14:textFill>
        </w:rPr>
        <w:sectPr>
          <w:pgSz w:w="16840" w:h="11907" w:orient="landscape"/>
          <w:pgMar w:top="1531" w:right="2126"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36"/>
        <w:tblW w:w="0" w:type="auto"/>
        <w:jc w:val="center"/>
        <w:tblBorders>
          <w:top w:val="single" w:color="auto" w:sz="8" w:space="0"/>
          <w:left w:val="single" w:color="auto" w:sz="8" w:space="0"/>
          <w:bottom w:val="single" w:color="auto" w:sz="12"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8"/>
        <w:gridCol w:w="8542"/>
      </w:tblGrid>
      <w:tr w14:paraId="25848C70">
        <w:tblPrEx>
          <w:tblBorders>
            <w:top w:val="single" w:color="auto" w:sz="8" w:space="0"/>
            <w:left w:val="single" w:color="auto" w:sz="8" w:space="0"/>
            <w:bottom w:val="single" w:color="auto" w:sz="12" w:space="0"/>
            <w:right w:val="single" w:color="auto" w:sz="8" w:space="0"/>
            <w:insideH w:val="single" w:color="auto" w:sz="4" w:space="0"/>
            <w:insideV w:val="single" w:color="auto" w:sz="4" w:space="0"/>
          </w:tblBorders>
        </w:tblPrEx>
        <w:trPr>
          <w:jc w:val="center"/>
        </w:trPr>
        <w:tc>
          <w:tcPr>
            <w:tcW w:w="548" w:type="dxa"/>
            <w:tcBorders>
              <w:tl2br w:val="nil"/>
              <w:tr2bl w:val="nil"/>
            </w:tcBorders>
            <w:tcMar>
              <w:left w:w="28" w:type="dxa"/>
              <w:right w:w="28" w:type="dxa"/>
            </w:tcMar>
            <w:vAlign w:val="center"/>
          </w:tcPr>
          <w:p w14:paraId="08A95DDF">
            <w:pPr>
              <w:spacing w:line="400" w:lineRule="exact"/>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Cs w:val="21"/>
                <w:highlight w:val="none"/>
                <w14:textFill>
                  <w14:solidFill>
                    <w14:schemeClr w14:val="tx1"/>
                  </w14:solidFill>
                </w14:textFill>
              </w:rPr>
              <w:t>运营期环境影响和保护措施</w:t>
            </w:r>
          </w:p>
        </w:tc>
        <w:tc>
          <w:tcPr>
            <w:tcW w:w="8542" w:type="dxa"/>
            <w:tcBorders>
              <w:tl2br w:val="nil"/>
              <w:tr2bl w:val="nil"/>
            </w:tcBorders>
            <w:vAlign w:val="center"/>
          </w:tcPr>
          <w:p w14:paraId="1816F3A7">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22" w:firstLineChars="200"/>
              <w:textAlignment w:val="auto"/>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3.2</w:t>
            </w:r>
            <w:r>
              <w:rPr>
                <w:rFonts w:hint="eastAsia"/>
                <w:b/>
                <w:color w:val="000000" w:themeColor="text1"/>
                <w:sz w:val="21"/>
                <w:szCs w:val="21"/>
                <w:highlight w:val="none"/>
                <w14:textFill>
                  <w14:solidFill>
                    <w14:schemeClr w14:val="tx1"/>
                  </w14:solidFill>
                </w14:textFill>
              </w:rPr>
              <w:t>噪声预测</w:t>
            </w:r>
          </w:p>
          <w:p w14:paraId="30BA3C97">
            <w:pPr>
              <w:spacing w:line="360" w:lineRule="auto"/>
              <w:ind w:firstLine="420" w:firstLineChars="200"/>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本项目采用《环境影响评价技术导则声环境（HJ2.4—2021）》附录B中工业噪声预测计算模型，进行噪声预测。</w:t>
            </w:r>
          </w:p>
          <w:p w14:paraId="346D8846">
            <w:pPr>
              <w:spacing w:line="360" w:lineRule="auto"/>
              <w:ind w:firstLine="422" w:firstLineChars="200"/>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（1）附录</w:t>
            </w:r>
            <w:r>
              <w:rPr>
                <w:b/>
                <w:bCs/>
                <w:color w:val="000000" w:themeColor="text1"/>
                <w:sz w:val="21"/>
                <w:szCs w:val="21"/>
                <w:highlight w:val="none"/>
                <w14:textFill>
                  <w14:solidFill>
                    <w14:schemeClr w14:val="tx1"/>
                  </w14:solidFill>
                </w14:textFill>
              </w:rPr>
              <w:t>A.3.1.1</w:t>
            </w:r>
            <w:r>
              <w:rPr>
                <w:rFonts w:hint="eastAsia"/>
                <w:b/>
                <w:bCs/>
                <w:color w:val="000000" w:themeColor="text1"/>
                <w:sz w:val="21"/>
                <w:szCs w:val="21"/>
                <w:highlight w:val="none"/>
                <w14:textFill>
                  <w14:solidFill>
                    <w14:schemeClr w14:val="tx1"/>
                  </w14:solidFill>
                </w14:textFill>
              </w:rPr>
              <w:t xml:space="preserve"> </w:t>
            </w:r>
            <w:r>
              <w:rPr>
                <w:b/>
                <w:bCs/>
                <w:color w:val="000000" w:themeColor="text1"/>
                <w:sz w:val="21"/>
                <w:szCs w:val="21"/>
                <w:highlight w:val="none"/>
                <w14:textFill>
                  <w14:solidFill>
                    <w14:schemeClr w14:val="tx1"/>
                  </w14:solidFill>
                </w14:textFill>
              </w:rPr>
              <w:t>点声源的几何发散衰减</w:t>
            </w:r>
          </w:p>
          <w:p w14:paraId="10435BD5">
            <w:pPr>
              <w:spacing w:line="360" w:lineRule="auto"/>
              <w:ind w:firstLine="420" w:firstLineChars="200"/>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无指向性点声源几何发散衰减的基本公式是：</w:t>
            </w:r>
          </w:p>
          <w:p w14:paraId="65187A50">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object>
                <v:shape id="_x0000_i1025" o:spt="75" type="#_x0000_t75" style="height:19pt;width:133.15pt;" o:ole="t" filled="f" o:preferrelative="t" stroked="f" coordsize="21600,21600">
                  <v:path/>
                  <v:fill on="f" focussize="0,0"/>
                  <v:stroke on="f" joinstyle="miter"/>
                  <v:imagedata r:id="rId12" o:title=""/>
                  <o:lock v:ext="edit" aspectratio="t"/>
                  <w10:wrap type="none"/>
                  <w10:anchorlock/>
                </v:shape>
                <o:OLEObject Type="Embed" ProgID="Equation.KSEE3" ShapeID="_x0000_i1025" DrawAspect="Content" ObjectID="_1468075725" r:id="rId11">
                  <o:LockedField>false</o:LockedField>
                </o:OLEObject>
              </w:object>
            </w:r>
          </w:p>
          <w:p w14:paraId="641254FC">
            <w:pPr>
              <w:spacing w:line="360" w:lineRule="auto"/>
              <w:ind w:left="689" w:leftChars="228" w:hanging="210" w:hangingChars="100"/>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式中：</w:t>
            </w:r>
            <w:r>
              <w:rPr>
                <w:i/>
                <w:iCs/>
                <w:color w:val="000000" w:themeColor="text1"/>
                <w:sz w:val="21"/>
                <w:szCs w:val="21"/>
                <w:highlight w:val="none"/>
                <w14:textFill>
                  <w14:solidFill>
                    <w14:schemeClr w14:val="tx1"/>
                  </w14:solidFill>
                </w14:textFill>
              </w:rPr>
              <w:t>L</w:t>
            </w:r>
            <w:r>
              <w:rPr>
                <w:i/>
                <w:iCs/>
                <w:color w:val="000000" w:themeColor="text1"/>
                <w:sz w:val="21"/>
                <w:szCs w:val="21"/>
                <w:highlight w:val="none"/>
                <w:vertAlign w:val="subscript"/>
                <w14:textFill>
                  <w14:solidFill>
                    <w14:schemeClr w14:val="tx1"/>
                  </w14:solidFill>
                </w14:textFill>
              </w:rPr>
              <w:t>p</w:t>
            </w:r>
            <w:r>
              <w:rPr>
                <w:color w:val="000000" w:themeColor="text1"/>
                <w:sz w:val="21"/>
                <w:szCs w:val="21"/>
                <w:highlight w:val="none"/>
                <w14:textFill>
                  <w14:solidFill>
                    <w14:schemeClr w14:val="tx1"/>
                  </w14:solidFill>
                </w14:textFill>
              </w:rPr>
              <w:t>(</w:t>
            </w:r>
            <w:r>
              <w:rPr>
                <w:i/>
                <w:iCs/>
                <w:color w:val="000000" w:themeColor="text1"/>
                <w:sz w:val="21"/>
                <w:szCs w:val="21"/>
                <w:highlight w:val="none"/>
                <w14:textFill>
                  <w14:solidFill>
                    <w14:schemeClr w14:val="tx1"/>
                  </w14:solidFill>
                </w14:textFill>
              </w:rPr>
              <w:t>r</w:t>
            </w:r>
            <w:r>
              <w:rPr>
                <w:color w:val="000000" w:themeColor="text1"/>
                <w:sz w:val="21"/>
                <w:szCs w:val="21"/>
                <w:highlight w:val="none"/>
                <w14:textFill>
                  <w14:solidFill>
                    <w14:schemeClr w14:val="tx1"/>
                  </w14:solidFill>
                </w14:textFill>
              </w:rPr>
              <w:t>)——预测点处声压级，dB；</w:t>
            </w:r>
          </w:p>
          <w:p w14:paraId="241AD7D8">
            <w:pPr>
              <w:spacing w:line="360" w:lineRule="auto"/>
              <w:ind w:left="718" w:leftChars="342" w:firstLine="420" w:firstLineChars="2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L</w:t>
            </w:r>
            <w:r>
              <w:rPr>
                <w:i/>
                <w:iCs/>
                <w:color w:val="000000" w:themeColor="text1"/>
                <w:sz w:val="21"/>
                <w:szCs w:val="21"/>
                <w:highlight w:val="none"/>
                <w:vertAlign w:val="subscript"/>
                <w14:textFill>
                  <w14:solidFill>
                    <w14:schemeClr w14:val="tx1"/>
                  </w14:solidFill>
                </w14:textFill>
              </w:rPr>
              <w:t>p</w:t>
            </w:r>
            <w:r>
              <w:rPr>
                <w:color w:val="000000" w:themeColor="text1"/>
                <w:sz w:val="21"/>
                <w:szCs w:val="21"/>
                <w:highlight w:val="none"/>
                <w14:textFill>
                  <w14:solidFill>
                    <w14:schemeClr w14:val="tx1"/>
                  </w14:solidFill>
                </w14:textFill>
              </w:rPr>
              <w:t>(</w:t>
            </w:r>
            <w:r>
              <w:rPr>
                <w:i/>
                <w:iCs/>
                <w:color w:val="000000" w:themeColor="text1"/>
                <w:sz w:val="21"/>
                <w:szCs w:val="21"/>
                <w:highlight w:val="none"/>
                <w14:textFill>
                  <w14:solidFill>
                    <w14:schemeClr w14:val="tx1"/>
                  </w14:solidFill>
                </w14:textFill>
              </w:rPr>
              <w:t>r</w:t>
            </w:r>
            <w:r>
              <w:rPr>
                <w:color w:val="000000" w:themeColor="text1"/>
                <w:sz w:val="21"/>
                <w:szCs w:val="21"/>
                <w:highlight w:val="none"/>
                <w:vertAlign w:val="subscript"/>
                <w14:textFill>
                  <w14:solidFill>
                    <w14:schemeClr w14:val="tx1"/>
                  </w14:solidFill>
                </w14:textFill>
              </w:rPr>
              <w:t>0</w:t>
            </w:r>
            <w:r>
              <w:rPr>
                <w:color w:val="000000" w:themeColor="text1"/>
                <w:sz w:val="21"/>
                <w:szCs w:val="21"/>
                <w:highlight w:val="none"/>
                <w14:textFill>
                  <w14:solidFill>
                    <w14:schemeClr w14:val="tx1"/>
                  </w14:solidFill>
                </w14:textFill>
              </w:rPr>
              <w:t>)——参考位置</w:t>
            </w:r>
            <w:r>
              <w:rPr>
                <w:i/>
                <w:iCs/>
                <w:color w:val="000000" w:themeColor="text1"/>
                <w:sz w:val="21"/>
                <w:szCs w:val="21"/>
                <w:highlight w:val="none"/>
                <w14:textFill>
                  <w14:solidFill>
                    <w14:schemeClr w14:val="tx1"/>
                  </w14:solidFill>
                </w14:textFill>
              </w:rPr>
              <w:t>r</w:t>
            </w:r>
            <w:r>
              <w:rPr>
                <w:color w:val="000000" w:themeColor="text1"/>
                <w:sz w:val="21"/>
                <w:szCs w:val="21"/>
                <w:highlight w:val="none"/>
                <w:vertAlign w:val="subscript"/>
                <w14:textFill>
                  <w14:solidFill>
                    <w14:schemeClr w14:val="tx1"/>
                  </w14:solidFill>
                </w14:textFill>
              </w:rPr>
              <w:t>0</w:t>
            </w:r>
            <w:r>
              <w:rPr>
                <w:color w:val="000000" w:themeColor="text1"/>
                <w:sz w:val="21"/>
                <w:szCs w:val="21"/>
                <w:highlight w:val="none"/>
                <w14:textFill>
                  <w14:solidFill>
                    <w14:schemeClr w14:val="tx1"/>
                  </w14:solidFill>
                </w14:textFill>
              </w:rPr>
              <w:t>处的声压级，dB；</w:t>
            </w:r>
          </w:p>
          <w:p w14:paraId="77DEDF3B">
            <w:pPr>
              <w:spacing w:line="360" w:lineRule="auto"/>
              <w:ind w:left="718" w:leftChars="342" w:firstLine="420" w:firstLineChars="2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 xml:space="preserve">r </w:t>
            </w:r>
            <w:r>
              <w:rPr>
                <w:color w:val="000000" w:themeColor="text1"/>
                <w:sz w:val="21"/>
                <w:szCs w:val="21"/>
                <w:highlight w:val="none"/>
                <w14:textFill>
                  <w14:solidFill>
                    <w14:schemeClr w14:val="tx1"/>
                  </w14:solidFill>
                </w14:textFill>
              </w:rPr>
              <w:t>——预测点距声源的距离；</w:t>
            </w:r>
          </w:p>
          <w:p w14:paraId="6BA544E9">
            <w:pPr>
              <w:spacing w:line="360" w:lineRule="auto"/>
              <w:ind w:left="718" w:leftChars="342" w:firstLine="420" w:firstLineChars="2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r</w:t>
            </w:r>
            <w:r>
              <w:rPr>
                <w:color w:val="000000" w:themeColor="text1"/>
                <w:sz w:val="21"/>
                <w:szCs w:val="21"/>
                <w:highlight w:val="none"/>
                <w:vertAlign w:val="subscript"/>
                <w14:textFill>
                  <w14:solidFill>
                    <w14:schemeClr w14:val="tx1"/>
                  </w14:solidFill>
                </w14:textFill>
              </w:rPr>
              <w:t>0</w:t>
            </w:r>
            <w:r>
              <w:rPr>
                <w:color w:val="000000" w:themeColor="text1"/>
                <w:sz w:val="21"/>
                <w:szCs w:val="21"/>
                <w:highlight w:val="none"/>
                <w14:textFill>
                  <w14:solidFill>
                    <w14:schemeClr w14:val="tx1"/>
                  </w14:solidFill>
                </w14:textFill>
              </w:rPr>
              <w:t>——参考位置距声源的距离。</w:t>
            </w:r>
          </w:p>
          <w:p w14:paraId="65BA1BD9">
            <w:pPr>
              <w:adjustRightInd w:val="0"/>
              <w:snapToGrid w:val="0"/>
              <w:spacing w:line="360" w:lineRule="auto"/>
              <w:ind w:firstLine="422" w:firstLineChars="200"/>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（2）附录B.1 工业噪声预测计算模型</w:t>
            </w:r>
          </w:p>
          <w:p w14:paraId="608A953F">
            <w:pPr>
              <w:adjustRightInd w:val="0"/>
              <w:snapToGrid w:val="0"/>
              <w:spacing w:line="360" w:lineRule="auto"/>
              <w:ind w:firstLine="422" w:firstLineChars="200"/>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1）室内声源等效室外声源声功率级计算方法</w:t>
            </w:r>
          </w:p>
          <w:p w14:paraId="5FD00E61">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声源位于室内，室内声源可采用等效室外声源声功率级法进行计算。设靠近开口处（或窗户）室内、室外某倍频带的声压级或A声级分别为</w:t>
            </w:r>
            <w:r>
              <w:rPr>
                <w:rFonts w:hint="eastAsia"/>
                <w:bCs/>
                <w:i/>
                <w:iCs/>
                <w:color w:val="000000" w:themeColor="text1"/>
                <w:sz w:val="21"/>
                <w:szCs w:val="21"/>
                <w:highlight w:val="none"/>
                <w14:textFill>
                  <w14:solidFill>
                    <w14:schemeClr w14:val="tx1"/>
                  </w14:solidFill>
                </w14:textFill>
              </w:rPr>
              <w:t>L</w:t>
            </w:r>
            <w:r>
              <w:rPr>
                <w:rFonts w:hint="eastAsia"/>
                <w:bCs/>
                <w:i/>
                <w:iCs/>
                <w:color w:val="000000" w:themeColor="text1"/>
                <w:sz w:val="21"/>
                <w:szCs w:val="21"/>
                <w:highlight w:val="none"/>
                <w:vertAlign w:val="subscript"/>
                <w14:textFill>
                  <w14:solidFill>
                    <w14:schemeClr w14:val="tx1"/>
                  </w14:solidFill>
                </w14:textFill>
              </w:rPr>
              <w:t>p1</w:t>
            </w:r>
            <w:r>
              <w:rPr>
                <w:rFonts w:hint="eastAsia"/>
                <w:bCs/>
                <w:color w:val="000000" w:themeColor="text1"/>
                <w:sz w:val="21"/>
                <w:szCs w:val="21"/>
                <w:highlight w:val="none"/>
                <w14:textFill>
                  <w14:solidFill>
                    <w14:schemeClr w14:val="tx1"/>
                  </w14:solidFill>
                </w14:textFill>
              </w:rPr>
              <w:t>和</w:t>
            </w:r>
            <w:r>
              <w:rPr>
                <w:rFonts w:hint="eastAsia"/>
                <w:bCs/>
                <w:i/>
                <w:iCs/>
                <w:color w:val="000000" w:themeColor="text1"/>
                <w:sz w:val="21"/>
                <w:szCs w:val="21"/>
                <w:highlight w:val="none"/>
                <w14:textFill>
                  <w14:solidFill>
                    <w14:schemeClr w14:val="tx1"/>
                  </w14:solidFill>
                </w14:textFill>
              </w:rPr>
              <w:t>L</w:t>
            </w:r>
            <w:r>
              <w:rPr>
                <w:rFonts w:hint="eastAsia"/>
                <w:bCs/>
                <w:i/>
                <w:iCs/>
                <w:color w:val="000000" w:themeColor="text1"/>
                <w:sz w:val="21"/>
                <w:szCs w:val="21"/>
                <w:highlight w:val="none"/>
                <w:vertAlign w:val="subscript"/>
                <w14:textFill>
                  <w14:solidFill>
                    <w14:schemeClr w14:val="tx1"/>
                  </w14:solidFill>
                </w14:textFill>
              </w:rPr>
              <w:t>p2</w:t>
            </w:r>
            <w:r>
              <w:rPr>
                <w:rFonts w:hint="eastAsia"/>
                <w:bCs/>
                <w:color w:val="000000" w:themeColor="text1"/>
                <w:sz w:val="21"/>
                <w:szCs w:val="21"/>
                <w:highlight w:val="none"/>
                <w14:textFill>
                  <w14:solidFill>
                    <w14:schemeClr w14:val="tx1"/>
                  </w14:solidFill>
                </w14:textFill>
              </w:rPr>
              <w:t>。若声源所在室内声场为近似扩散声场，则室外的倍频带声压级可按下式近似求出：</w:t>
            </w:r>
          </w:p>
          <w:p w14:paraId="575B973C">
            <w:pPr>
              <w:adjustRightInd w:val="0"/>
              <w:snapToGrid w:val="0"/>
              <w:spacing w:line="360" w:lineRule="auto"/>
              <w:jc w:val="center"/>
              <w:rPr>
                <w:bCs/>
                <w:color w:val="000000" w:themeColor="text1"/>
                <w:sz w:val="21"/>
                <w:szCs w:val="21"/>
                <w:highlight w:val="none"/>
                <w14:textFill>
                  <w14:solidFill>
                    <w14:schemeClr w14:val="tx1"/>
                  </w14:solidFill>
                </w14:textFill>
              </w:rPr>
            </w:pPr>
            <w:r>
              <w:rPr>
                <w:bCs/>
                <w:color w:val="000000" w:themeColor="text1"/>
                <w:position w:val="-10"/>
                <w:sz w:val="21"/>
                <w:szCs w:val="21"/>
                <w:highlight w:val="none"/>
                <w14:textFill>
                  <w14:solidFill>
                    <w14:schemeClr w14:val="tx1"/>
                  </w14:solidFill>
                </w14:textFill>
              </w:rPr>
              <w:object>
                <v:shape id="_x0000_i1026" o:spt="75" type="#_x0000_t75" style="height:17pt;width:95.75pt;" o:ole="t" filled="f" o:preferrelative="t" stroked="f" coordsize="21600,21600">
                  <v:path/>
                  <v:fill on="f" focussize="0,0"/>
                  <v:stroke on="f" joinstyle="miter"/>
                  <v:imagedata r:id="rId14" o:title=""/>
                  <o:lock v:ext="edit" aspectratio="t"/>
                  <w10:wrap type="none"/>
                  <w10:anchorlock/>
                </v:shape>
                <o:OLEObject Type="Embed" ProgID="Equation.KSEE3" ShapeID="_x0000_i1026" DrawAspect="Content" ObjectID="_1468075726" r:id="rId13">
                  <o:LockedField>false</o:LockedField>
                </o:OLEObject>
              </w:object>
            </w:r>
          </w:p>
          <w:p w14:paraId="24CA56CF">
            <w:pPr>
              <w:adjustRightInd w:val="0"/>
              <w:snapToGrid w:val="0"/>
              <w:spacing w:line="360" w:lineRule="auto"/>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式中：</w:t>
            </w:r>
            <w:r>
              <w:rPr>
                <w:rFonts w:hint="eastAsia"/>
                <w:bCs/>
                <w:i/>
                <w:iCs/>
                <w:color w:val="000000" w:themeColor="text1"/>
                <w:sz w:val="21"/>
                <w:szCs w:val="21"/>
                <w:highlight w:val="none"/>
                <w14:textFill>
                  <w14:solidFill>
                    <w14:schemeClr w14:val="tx1"/>
                  </w14:solidFill>
                </w14:textFill>
              </w:rPr>
              <w:t>L</w:t>
            </w:r>
            <w:r>
              <w:rPr>
                <w:rFonts w:hint="eastAsia"/>
                <w:bCs/>
                <w:i/>
                <w:iCs/>
                <w:color w:val="000000" w:themeColor="text1"/>
                <w:sz w:val="21"/>
                <w:szCs w:val="21"/>
                <w:highlight w:val="none"/>
                <w:vertAlign w:val="subscript"/>
                <w14:textFill>
                  <w14:solidFill>
                    <w14:schemeClr w14:val="tx1"/>
                  </w14:solidFill>
                </w14:textFill>
              </w:rPr>
              <w:t>p1</w:t>
            </w:r>
            <w:r>
              <w:rPr>
                <w:color w:val="000000" w:themeColor="text1"/>
                <w:sz w:val="21"/>
                <w:szCs w:val="21"/>
                <w:highlight w:val="none"/>
                <w14:textFill>
                  <w14:solidFill>
                    <w14:schemeClr w14:val="tx1"/>
                  </w14:solidFill>
                </w14:textFill>
              </w:rPr>
              <w:t>——</w:t>
            </w:r>
            <w:r>
              <w:rPr>
                <w:rFonts w:hint="eastAsia"/>
                <w:bCs/>
                <w:color w:val="000000" w:themeColor="text1"/>
                <w:sz w:val="21"/>
                <w:szCs w:val="21"/>
                <w:highlight w:val="none"/>
                <w14:textFill>
                  <w14:solidFill>
                    <w14:schemeClr w14:val="tx1"/>
                  </w14:solidFill>
                </w14:textFill>
              </w:rPr>
              <w:t>靠近开口处（或窗户）室内某倍频带的声压级或A声级，dB；</w:t>
            </w:r>
          </w:p>
          <w:p w14:paraId="7C546C79">
            <w:pPr>
              <w:adjustRightInd w:val="0"/>
              <w:snapToGrid w:val="0"/>
              <w:spacing w:line="360" w:lineRule="auto"/>
              <w:ind w:firstLine="630" w:firstLineChars="300"/>
              <w:rPr>
                <w:bCs/>
                <w:color w:val="000000" w:themeColor="text1"/>
                <w:sz w:val="21"/>
                <w:szCs w:val="21"/>
                <w:highlight w:val="none"/>
                <w14:textFill>
                  <w14:solidFill>
                    <w14:schemeClr w14:val="tx1"/>
                  </w14:solidFill>
                </w14:textFill>
              </w:rPr>
            </w:pPr>
            <w:r>
              <w:rPr>
                <w:rFonts w:hint="eastAsia"/>
                <w:bCs/>
                <w:i/>
                <w:iCs/>
                <w:color w:val="000000" w:themeColor="text1"/>
                <w:sz w:val="21"/>
                <w:szCs w:val="21"/>
                <w:highlight w:val="none"/>
                <w14:textFill>
                  <w14:solidFill>
                    <w14:schemeClr w14:val="tx1"/>
                  </w14:solidFill>
                </w14:textFill>
              </w:rPr>
              <w:t>L</w:t>
            </w:r>
            <w:r>
              <w:rPr>
                <w:rFonts w:hint="eastAsia"/>
                <w:bCs/>
                <w:i/>
                <w:iCs/>
                <w:color w:val="000000" w:themeColor="text1"/>
                <w:sz w:val="21"/>
                <w:szCs w:val="21"/>
                <w:highlight w:val="none"/>
                <w:vertAlign w:val="subscript"/>
                <w14:textFill>
                  <w14:solidFill>
                    <w14:schemeClr w14:val="tx1"/>
                  </w14:solidFill>
                </w14:textFill>
              </w:rPr>
              <w:t>p2</w:t>
            </w:r>
            <w:r>
              <w:rPr>
                <w:color w:val="000000" w:themeColor="text1"/>
                <w:sz w:val="21"/>
                <w:szCs w:val="21"/>
                <w:highlight w:val="none"/>
                <w14:textFill>
                  <w14:solidFill>
                    <w14:schemeClr w14:val="tx1"/>
                  </w14:solidFill>
                </w14:textFill>
              </w:rPr>
              <w:t>——</w:t>
            </w:r>
            <w:r>
              <w:rPr>
                <w:rFonts w:hint="eastAsia"/>
                <w:bCs/>
                <w:color w:val="000000" w:themeColor="text1"/>
                <w:sz w:val="21"/>
                <w:szCs w:val="21"/>
                <w:highlight w:val="none"/>
                <w14:textFill>
                  <w14:solidFill>
                    <w14:schemeClr w14:val="tx1"/>
                  </w14:solidFill>
                </w14:textFill>
              </w:rPr>
              <w:t>靠近开口处（或窗户）室外某倍频带的声压级或A声级，dB；</w:t>
            </w:r>
          </w:p>
          <w:p w14:paraId="2A470335">
            <w:pPr>
              <w:adjustRightInd w:val="0"/>
              <w:snapToGrid w:val="0"/>
              <w:spacing w:line="360" w:lineRule="auto"/>
              <w:ind w:firstLine="630" w:firstLineChars="300"/>
              <w:rPr>
                <w:bCs/>
                <w:color w:val="000000" w:themeColor="text1"/>
                <w:sz w:val="21"/>
                <w:szCs w:val="21"/>
                <w:highlight w:val="none"/>
                <w14:textFill>
                  <w14:solidFill>
                    <w14:schemeClr w14:val="tx1"/>
                  </w14:solidFill>
                </w14:textFill>
              </w:rPr>
            </w:pPr>
            <w:r>
              <w:rPr>
                <w:rFonts w:hint="eastAsia"/>
                <w:bCs/>
                <w:i/>
                <w:iCs/>
                <w:color w:val="000000" w:themeColor="text1"/>
                <w:sz w:val="21"/>
                <w:szCs w:val="21"/>
                <w:highlight w:val="none"/>
                <w14:textFill>
                  <w14:solidFill>
                    <w14:schemeClr w14:val="tx1"/>
                  </w14:solidFill>
                </w14:textFill>
              </w:rPr>
              <w:t>TL</w:t>
            </w:r>
            <w:r>
              <w:rPr>
                <w:color w:val="000000" w:themeColor="text1"/>
                <w:sz w:val="21"/>
                <w:szCs w:val="21"/>
                <w:highlight w:val="none"/>
                <w14:textFill>
                  <w14:solidFill>
                    <w14:schemeClr w14:val="tx1"/>
                  </w14:solidFill>
                </w14:textFill>
              </w:rPr>
              <w:t>——</w:t>
            </w:r>
            <w:r>
              <w:rPr>
                <w:rFonts w:hint="eastAsia"/>
                <w:bCs/>
                <w:color w:val="000000" w:themeColor="text1"/>
                <w:sz w:val="21"/>
                <w:szCs w:val="21"/>
                <w:highlight w:val="none"/>
                <w14:textFill>
                  <w14:solidFill>
                    <w14:schemeClr w14:val="tx1"/>
                  </w14:solidFill>
                </w14:textFill>
              </w:rPr>
              <w:t>隔墙（或窗户）倍频带或A声级的隔声量，dB。</w:t>
            </w:r>
          </w:p>
          <w:p w14:paraId="1C90A7E4">
            <w:pPr>
              <w:spacing w:line="360" w:lineRule="auto"/>
              <w:ind w:firstLine="422" w:firstLineChars="200"/>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2）</w:t>
            </w:r>
            <w:r>
              <w:rPr>
                <w:b/>
                <w:bCs/>
                <w:color w:val="000000" w:themeColor="text1"/>
                <w:sz w:val="21"/>
                <w:szCs w:val="21"/>
                <w:highlight w:val="none"/>
                <w14:textFill>
                  <w14:solidFill>
                    <w14:schemeClr w14:val="tx1"/>
                  </w14:solidFill>
                </w14:textFill>
              </w:rPr>
              <w:t>工业企业噪声计算</w:t>
            </w:r>
          </w:p>
          <w:p w14:paraId="4278836C">
            <w:pPr>
              <w:spacing w:line="360" w:lineRule="auto"/>
              <w:ind w:firstLine="420" w:firstLineChars="200"/>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设第</w:t>
            </w:r>
            <w:r>
              <w:rPr>
                <w:i/>
                <w:iCs/>
                <w:color w:val="000000" w:themeColor="text1"/>
                <w:sz w:val="21"/>
                <w:szCs w:val="21"/>
                <w:highlight w:val="none"/>
                <w14:textFill>
                  <w14:solidFill>
                    <w14:schemeClr w14:val="tx1"/>
                  </w14:solidFill>
                </w14:textFill>
              </w:rPr>
              <w:t>i</w:t>
            </w:r>
            <w:r>
              <w:rPr>
                <w:color w:val="000000" w:themeColor="text1"/>
                <w:sz w:val="21"/>
                <w:szCs w:val="21"/>
                <w:highlight w:val="none"/>
                <w14:textFill>
                  <w14:solidFill>
                    <w14:schemeClr w14:val="tx1"/>
                  </w14:solidFill>
                </w14:textFill>
              </w:rPr>
              <w:t>个室外声源在预测点产生的A声级为</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A</w:t>
            </w:r>
            <w:r>
              <w:rPr>
                <w:i/>
                <w:iCs/>
                <w:color w:val="000000" w:themeColor="text1"/>
                <w:sz w:val="21"/>
                <w:szCs w:val="21"/>
                <w:highlight w:val="none"/>
                <w:vertAlign w:val="subscript"/>
                <w14:textFill>
                  <w14:solidFill>
                    <w14:schemeClr w14:val="tx1"/>
                  </w14:solidFill>
                </w14:textFill>
              </w:rPr>
              <w:t>i</w:t>
            </w:r>
            <w:r>
              <w:rPr>
                <w:color w:val="000000" w:themeColor="text1"/>
                <w:sz w:val="21"/>
                <w:szCs w:val="21"/>
                <w:highlight w:val="none"/>
                <w14:textFill>
                  <w14:solidFill>
                    <w14:schemeClr w14:val="tx1"/>
                  </w14:solidFill>
                </w14:textFill>
              </w:rPr>
              <w:t>，在</w:t>
            </w:r>
            <w:r>
              <w:rPr>
                <w:i/>
                <w:iCs/>
                <w:color w:val="000000" w:themeColor="text1"/>
                <w:sz w:val="21"/>
                <w:szCs w:val="21"/>
                <w:highlight w:val="none"/>
                <w14:textFill>
                  <w14:solidFill>
                    <w14:schemeClr w14:val="tx1"/>
                  </w14:solidFill>
                </w14:textFill>
              </w:rPr>
              <w:t>T</w:t>
            </w:r>
            <w:r>
              <w:rPr>
                <w:color w:val="000000" w:themeColor="text1"/>
                <w:sz w:val="21"/>
                <w:szCs w:val="21"/>
                <w:highlight w:val="none"/>
                <w14:textFill>
                  <w14:solidFill>
                    <w14:schemeClr w14:val="tx1"/>
                  </w14:solidFill>
                </w14:textFill>
              </w:rPr>
              <w:t>时间内该声源工作时间为</w:t>
            </w:r>
            <w:r>
              <w:rPr>
                <w:i/>
                <w:iCs/>
                <w:color w:val="000000" w:themeColor="text1"/>
                <w:sz w:val="21"/>
                <w:szCs w:val="21"/>
                <w:highlight w:val="none"/>
                <w14:textFill>
                  <w14:solidFill>
                    <w14:schemeClr w14:val="tx1"/>
                  </w14:solidFill>
                </w14:textFill>
              </w:rPr>
              <w:t>t</w:t>
            </w:r>
            <w:r>
              <w:rPr>
                <w:i/>
                <w:iCs/>
                <w:color w:val="000000" w:themeColor="text1"/>
                <w:sz w:val="21"/>
                <w:szCs w:val="21"/>
                <w:highlight w:val="none"/>
                <w:vertAlign w:val="subscript"/>
                <w14:textFill>
                  <w14:solidFill>
                    <w14:schemeClr w14:val="tx1"/>
                  </w14:solidFill>
                </w14:textFill>
              </w:rPr>
              <w:t>i</w:t>
            </w:r>
            <w:r>
              <w:rPr>
                <w:color w:val="000000" w:themeColor="text1"/>
                <w:sz w:val="21"/>
                <w:szCs w:val="21"/>
                <w:highlight w:val="none"/>
                <w14:textFill>
                  <w14:solidFill>
                    <w14:schemeClr w14:val="tx1"/>
                  </w14:solidFill>
                </w14:textFill>
              </w:rPr>
              <w:t>；第</w:t>
            </w:r>
            <w:r>
              <w:rPr>
                <w:i/>
                <w:iCs/>
                <w:color w:val="000000" w:themeColor="text1"/>
                <w:sz w:val="21"/>
                <w:szCs w:val="21"/>
                <w:highlight w:val="none"/>
                <w14:textFill>
                  <w14:solidFill>
                    <w14:schemeClr w14:val="tx1"/>
                  </w14:solidFill>
                </w14:textFill>
              </w:rPr>
              <w:t>j</w:t>
            </w:r>
            <w:r>
              <w:rPr>
                <w:color w:val="000000" w:themeColor="text1"/>
                <w:sz w:val="21"/>
                <w:szCs w:val="21"/>
                <w:highlight w:val="none"/>
                <w14:textFill>
                  <w14:solidFill>
                    <w14:schemeClr w14:val="tx1"/>
                  </w14:solidFill>
                </w14:textFill>
              </w:rPr>
              <w:t>个等效室外声源在预测点产生的A声级为</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A</w:t>
            </w:r>
            <w:r>
              <w:rPr>
                <w:i/>
                <w:iCs/>
                <w:color w:val="000000" w:themeColor="text1"/>
                <w:sz w:val="21"/>
                <w:szCs w:val="21"/>
                <w:highlight w:val="none"/>
                <w:vertAlign w:val="subscript"/>
                <w14:textFill>
                  <w14:solidFill>
                    <w14:schemeClr w14:val="tx1"/>
                  </w14:solidFill>
                </w14:textFill>
              </w:rPr>
              <w:t>j</w:t>
            </w:r>
            <w:r>
              <w:rPr>
                <w:color w:val="000000" w:themeColor="text1"/>
                <w:sz w:val="21"/>
                <w:szCs w:val="21"/>
                <w:highlight w:val="none"/>
                <w14:textFill>
                  <w14:solidFill>
                    <w14:schemeClr w14:val="tx1"/>
                  </w14:solidFill>
                </w14:textFill>
              </w:rPr>
              <w:t>，在</w:t>
            </w:r>
            <w:r>
              <w:rPr>
                <w:i/>
                <w:iCs/>
                <w:color w:val="000000" w:themeColor="text1"/>
                <w:sz w:val="21"/>
                <w:szCs w:val="21"/>
                <w:highlight w:val="none"/>
                <w14:textFill>
                  <w14:solidFill>
                    <w14:schemeClr w14:val="tx1"/>
                  </w14:solidFill>
                </w14:textFill>
              </w:rPr>
              <w:t>T</w:t>
            </w:r>
            <w:r>
              <w:rPr>
                <w:color w:val="000000" w:themeColor="text1"/>
                <w:sz w:val="21"/>
                <w:szCs w:val="21"/>
                <w:highlight w:val="none"/>
                <w14:textFill>
                  <w14:solidFill>
                    <w14:schemeClr w14:val="tx1"/>
                  </w14:solidFill>
                </w14:textFill>
              </w:rPr>
              <w:t>时间内该声源工作时间为</w:t>
            </w:r>
            <w:r>
              <w:rPr>
                <w:i/>
                <w:iCs/>
                <w:color w:val="000000" w:themeColor="text1"/>
                <w:sz w:val="21"/>
                <w:szCs w:val="21"/>
                <w:highlight w:val="none"/>
                <w14:textFill>
                  <w14:solidFill>
                    <w14:schemeClr w14:val="tx1"/>
                  </w14:solidFill>
                </w14:textFill>
              </w:rPr>
              <w:t>t</w:t>
            </w:r>
            <w:r>
              <w:rPr>
                <w:i/>
                <w:iCs/>
                <w:color w:val="000000" w:themeColor="text1"/>
                <w:sz w:val="21"/>
                <w:szCs w:val="21"/>
                <w:highlight w:val="none"/>
                <w:vertAlign w:val="subscript"/>
                <w14:textFill>
                  <w14:solidFill>
                    <w14:schemeClr w14:val="tx1"/>
                  </w14:solidFill>
                </w14:textFill>
              </w:rPr>
              <w:t>j</w:t>
            </w:r>
            <w:r>
              <w:rPr>
                <w:color w:val="000000" w:themeColor="text1"/>
                <w:sz w:val="21"/>
                <w:szCs w:val="21"/>
                <w:highlight w:val="none"/>
                <w14:textFill>
                  <w14:solidFill>
                    <w14:schemeClr w14:val="tx1"/>
                  </w14:solidFill>
                </w14:textFill>
              </w:rPr>
              <w:t>，则拟建工程声源对预测点产生的贡献值（</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eqg</w:t>
            </w:r>
            <w:r>
              <w:rPr>
                <w:color w:val="000000" w:themeColor="text1"/>
                <w:sz w:val="21"/>
                <w:szCs w:val="21"/>
                <w:highlight w:val="none"/>
                <w14:textFill>
                  <w14:solidFill>
                    <w14:schemeClr w14:val="tx1"/>
                  </w14:solidFill>
                </w14:textFill>
              </w:rPr>
              <w:t>）为：</w:t>
            </w:r>
          </w:p>
          <w:p w14:paraId="2CB29DD8">
            <w:pPr>
              <w:spacing w:line="360" w:lineRule="auto"/>
              <w:jc w:val="center"/>
              <w:rPr>
                <w:color w:val="000000" w:themeColor="text1"/>
                <w:sz w:val="21"/>
                <w:szCs w:val="21"/>
                <w:highlight w:val="none"/>
                <w14:textFill>
                  <w14:solidFill>
                    <w14:schemeClr w14:val="tx1"/>
                  </w14:solidFill>
                </w14:textFill>
              </w:rPr>
            </w:pPr>
            <w:r>
              <w:rPr>
                <w:color w:val="000000" w:themeColor="text1"/>
                <w:position w:val="-34"/>
                <w:sz w:val="21"/>
                <w:szCs w:val="21"/>
                <w:highlight w:val="none"/>
                <w14:textFill>
                  <w14:solidFill>
                    <w14:schemeClr w14:val="tx1"/>
                  </w14:solidFill>
                </w14:textFill>
              </w:rPr>
              <w:object>
                <v:shape id="_x0000_i1027" o:spt="75" type="#_x0000_t75" style="height:40.1pt;width:211.25pt;" o:ole="t" filled="f" o:preferrelative="t" stroked="f" coordsize="21600,21600">
                  <v:path/>
                  <v:fill on="f" focussize="0,0"/>
                  <v:stroke on="f" joinstyle="miter"/>
                  <v:imagedata r:id="rId16" o:title=""/>
                  <o:lock v:ext="edit" aspectratio="t"/>
                  <w10:wrap type="none"/>
                  <w10:anchorlock/>
                </v:shape>
                <o:OLEObject Type="Embed" ProgID="Equation.KSEE3" ShapeID="_x0000_i1027" DrawAspect="Content" ObjectID="_1468075727" r:id="rId15">
                  <o:LockedField>false</o:LockedField>
                </o:OLEObject>
              </w:object>
            </w:r>
          </w:p>
          <w:p w14:paraId="5BED5D2C">
            <w:pPr>
              <w:spacing w:line="360" w:lineRule="auto"/>
              <w:ind w:left="720" w:hanging="630" w:hangingChars="300"/>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式中：</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eqg</w:t>
            </w:r>
            <w:r>
              <w:rPr>
                <w:color w:val="000000" w:themeColor="text1"/>
                <w:sz w:val="21"/>
                <w:szCs w:val="21"/>
                <w:highlight w:val="none"/>
                <w14:textFill>
                  <w14:solidFill>
                    <w14:schemeClr w14:val="tx1"/>
                  </w14:solidFill>
                </w14:textFill>
              </w:rPr>
              <w:t>——建设项目声源在预测点产生的噪声贡献值，dB；</w:t>
            </w:r>
          </w:p>
          <w:p w14:paraId="68EA5127">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T</w:t>
            </w:r>
            <w:r>
              <w:rPr>
                <w:color w:val="000000" w:themeColor="text1"/>
                <w:sz w:val="21"/>
                <w:szCs w:val="21"/>
                <w:highlight w:val="none"/>
                <w14:textFill>
                  <w14:solidFill>
                    <w14:schemeClr w14:val="tx1"/>
                  </w14:solidFill>
                </w14:textFill>
              </w:rPr>
              <w:t>——用于计算等效声级的时间，s；</w:t>
            </w:r>
          </w:p>
          <w:p w14:paraId="18E74E26">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N</w:t>
            </w:r>
            <w:r>
              <w:rPr>
                <w:color w:val="000000" w:themeColor="text1"/>
                <w:sz w:val="21"/>
                <w:szCs w:val="21"/>
                <w:highlight w:val="none"/>
                <w14:textFill>
                  <w14:solidFill>
                    <w14:schemeClr w14:val="tx1"/>
                  </w14:solidFill>
                </w14:textFill>
              </w:rPr>
              <w:t>——室外声源个数；</w:t>
            </w:r>
          </w:p>
          <w:p w14:paraId="6BA5C6D6">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t</w:t>
            </w:r>
            <w:r>
              <w:rPr>
                <w:i/>
                <w:iCs/>
                <w:color w:val="000000" w:themeColor="text1"/>
                <w:sz w:val="21"/>
                <w:szCs w:val="21"/>
                <w:highlight w:val="none"/>
                <w:vertAlign w:val="subscript"/>
                <w14:textFill>
                  <w14:solidFill>
                    <w14:schemeClr w14:val="tx1"/>
                  </w14:solidFill>
                </w14:textFill>
              </w:rPr>
              <w:t>i</w:t>
            </w:r>
            <w:r>
              <w:rPr>
                <w:color w:val="000000" w:themeColor="text1"/>
                <w:sz w:val="21"/>
                <w:szCs w:val="21"/>
                <w:highlight w:val="none"/>
                <w14:textFill>
                  <w14:solidFill>
                    <w14:schemeClr w14:val="tx1"/>
                  </w14:solidFill>
                </w14:textFill>
              </w:rPr>
              <w:t>——在</w:t>
            </w:r>
            <w:r>
              <w:rPr>
                <w:i/>
                <w:iCs/>
                <w:color w:val="000000" w:themeColor="text1"/>
                <w:sz w:val="21"/>
                <w:szCs w:val="21"/>
                <w:highlight w:val="none"/>
                <w14:textFill>
                  <w14:solidFill>
                    <w14:schemeClr w14:val="tx1"/>
                  </w14:solidFill>
                </w14:textFill>
              </w:rPr>
              <w:t>T</w:t>
            </w:r>
            <w:r>
              <w:rPr>
                <w:color w:val="000000" w:themeColor="text1"/>
                <w:sz w:val="21"/>
                <w:szCs w:val="21"/>
                <w:highlight w:val="none"/>
                <w14:textFill>
                  <w14:solidFill>
                    <w14:schemeClr w14:val="tx1"/>
                  </w14:solidFill>
                </w14:textFill>
              </w:rPr>
              <w:t>时间内</w:t>
            </w:r>
            <w:r>
              <w:rPr>
                <w:i/>
                <w:iCs/>
                <w:color w:val="000000" w:themeColor="text1"/>
                <w:sz w:val="21"/>
                <w:szCs w:val="21"/>
                <w:highlight w:val="none"/>
                <w14:textFill>
                  <w14:solidFill>
                    <w14:schemeClr w14:val="tx1"/>
                  </w14:solidFill>
                </w14:textFill>
              </w:rPr>
              <w:t>i</w:t>
            </w:r>
            <w:r>
              <w:rPr>
                <w:color w:val="000000" w:themeColor="text1"/>
                <w:sz w:val="21"/>
                <w:szCs w:val="21"/>
                <w:highlight w:val="none"/>
                <w14:textFill>
                  <w14:solidFill>
                    <w14:schemeClr w14:val="tx1"/>
                  </w14:solidFill>
                </w14:textFill>
              </w:rPr>
              <w:t>声源工作时间，s；</w:t>
            </w:r>
          </w:p>
          <w:p w14:paraId="4ACDA9BA">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M</w:t>
            </w:r>
            <w:r>
              <w:rPr>
                <w:color w:val="000000" w:themeColor="text1"/>
                <w:sz w:val="21"/>
                <w:szCs w:val="21"/>
                <w:highlight w:val="none"/>
                <w14:textFill>
                  <w14:solidFill>
                    <w14:schemeClr w14:val="tx1"/>
                  </w14:solidFill>
                </w14:textFill>
              </w:rPr>
              <w:t>——等效室外声源个数；</w:t>
            </w:r>
          </w:p>
          <w:p w14:paraId="495D3802">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t</w:t>
            </w:r>
            <w:r>
              <w:rPr>
                <w:i/>
                <w:iCs/>
                <w:color w:val="000000" w:themeColor="text1"/>
                <w:sz w:val="21"/>
                <w:szCs w:val="21"/>
                <w:highlight w:val="none"/>
                <w:vertAlign w:val="subscript"/>
                <w14:textFill>
                  <w14:solidFill>
                    <w14:schemeClr w14:val="tx1"/>
                  </w14:solidFill>
                </w14:textFill>
              </w:rPr>
              <w:t>j</w:t>
            </w:r>
            <w:r>
              <w:rPr>
                <w:color w:val="000000" w:themeColor="text1"/>
                <w:sz w:val="21"/>
                <w:szCs w:val="21"/>
                <w:highlight w:val="none"/>
                <w14:textFill>
                  <w14:solidFill>
                    <w14:schemeClr w14:val="tx1"/>
                  </w14:solidFill>
                </w14:textFill>
              </w:rPr>
              <w:t>——在</w:t>
            </w:r>
            <w:r>
              <w:rPr>
                <w:i/>
                <w:iCs/>
                <w:color w:val="000000" w:themeColor="text1"/>
                <w:sz w:val="21"/>
                <w:szCs w:val="21"/>
                <w:highlight w:val="none"/>
                <w14:textFill>
                  <w14:solidFill>
                    <w14:schemeClr w14:val="tx1"/>
                  </w14:solidFill>
                </w14:textFill>
              </w:rPr>
              <w:t>T</w:t>
            </w:r>
            <w:r>
              <w:rPr>
                <w:color w:val="000000" w:themeColor="text1"/>
                <w:sz w:val="21"/>
                <w:szCs w:val="21"/>
                <w:highlight w:val="none"/>
                <w14:textFill>
                  <w14:solidFill>
                    <w14:schemeClr w14:val="tx1"/>
                  </w14:solidFill>
                </w14:textFill>
              </w:rPr>
              <w:t>时间内</w:t>
            </w:r>
            <w:r>
              <w:rPr>
                <w:i/>
                <w:iCs/>
                <w:color w:val="000000" w:themeColor="text1"/>
                <w:sz w:val="21"/>
                <w:szCs w:val="21"/>
                <w:highlight w:val="none"/>
                <w14:textFill>
                  <w14:solidFill>
                    <w14:schemeClr w14:val="tx1"/>
                  </w14:solidFill>
                </w14:textFill>
              </w:rPr>
              <w:t>j</w:t>
            </w:r>
            <w:r>
              <w:rPr>
                <w:color w:val="000000" w:themeColor="text1"/>
                <w:sz w:val="21"/>
                <w:szCs w:val="21"/>
                <w:highlight w:val="none"/>
                <w14:textFill>
                  <w14:solidFill>
                    <w14:schemeClr w14:val="tx1"/>
                  </w14:solidFill>
                </w14:textFill>
              </w:rPr>
              <w:t>声源工作时间，s。</w:t>
            </w:r>
          </w:p>
          <w:p w14:paraId="63E00227">
            <w:pPr>
              <w:spacing w:line="360" w:lineRule="auto"/>
              <w:ind w:firstLine="422" w:firstLineChars="200"/>
              <w:rPr>
                <w:b/>
                <w:bCs/>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3）</w:t>
            </w:r>
            <w:r>
              <w:rPr>
                <w:b/>
                <w:bCs/>
                <w:color w:val="000000" w:themeColor="text1"/>
                <w:sz w:val="21"/>
                <w:szCs w:val="21"/>
                <w:highlight w:val="none"/>
                <w14:textFill>
                  <w14:solidFill>
                    <w14:schemeClr w14:val="tx1"/>
                  </w14:solidFill>
                </w14:textFill>
              </w:rPr>
              <w:t>预测值计算</w:t>
            </w:r>
          </w:p>
          <w:p w14:paraId="7BF817BE">
            <w:pPr>
              <w:spacing w:line="360" w:lineRule="auto"/>
              <w:ind w:left="479" w:leftChars="228"/>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噪声预测值（</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w:t>
            </w:r>
            <w:r>
              <w:rPr>
                <w:color w:val="000000" w:themeColor="text1"/>
                <w:sz w:val="21"/>
                <w:szCs w:val="21"/>
                <w:highlight w:val="none"/>
                <w14:textFill>
                  <w14:solidFill>
                    <w14:schemeClr w14:val="tx1"/>
                  </w14:solidFill>
                </w14:textFill>
              </w:rPr>
              <w:t>）计算公式为：</w:t>
            </w:r>
          </w:p>
          <w:p w14:paraId="27EBF4CD">
            <w:pPr>
              <w:widowControl/>
              <w:spacing w:line="360" w:lineRule="auto"/>
              <w:jc w:val="center"/>
              <w:outlineLvl w:val="1"/>
              <w:rPr>
                <w:rFonts w:ascii="宋体" w:hAnsi="宋体" w:cs="宋体"/>
                <w:b/>
                <w:bCs/>
                <w:color w:val="000000" w:themeColor="text1"/>
                <w:kern w:val="0"/>
                <w:sz w:val="21"/>
                <w:szCs w:val="21"/>
                <w:highlight w:val="none"/>
                <w:lang w:bidi="ar"/>
                <w14:textFill>
                  <w14:solidFill>
                    <w14:schemeClr w14:val="tx1"/>
                  </w14:solidFill>
                </w14:textFill>
              </w:rPr>
            </w:pPr>
            <w:r>
              <w:rPr>
                <w:rFonts w:hint="eastAsia" w:ascii="宋体" w:hAnsi="宋体" w:cs="宋体"/>
                <w:b/>
                <w:bCs/>
                <w:color w:val="000000" w:themeColor="text1"/>
                <w:kern w:val="0"/>
                <w:position w:val="-14"/>
                <w:sz w:val="21"/>
                <w:szCs w:val="21"/>
                <w:highlight w:val="none"/>
                <w:lang w:bidi="ar"/>
                <w14:textFill>
                  <w14:solidFill>
                    <w14:schemeClr w14:val="tx1"/>
                  </w14:solidFill>
                </w14:textFill>
              </w:rPr>
              <w:object>
                <v:shape id="_x0000_i1028" o:spt="75" type="#_x0000_t75" style="height:21.05pt;width:137.9pt;" o:ole="t" filled="f" o:preferrelative="t" stroked="f" coordsize="21600,21600">
                  <v:path/>
                  <v:fill on="f" focussize="0,0"/>
                  <v:stroke on="f" joinstyle="miter"/>
                  <v:imagedata r:id="rId18" o:title=""/>
                  <o:lock v:ext="edit" aspectratio="t"/>
                  <w10:wrap type="none"/>
                  <w10:anchorlock/>
                </v:shape>
                <o:OLEObject Type="Embed" ProgID="Equation.KSEE3" ShapeID="_x0000_i1028" DrawAspect="Content" ObjectID="_1468075728" r:id="rId17">
                  <o:LockedField>false</o:LockedField>
                </o:OLEObject>
              </w:object>
            </w:r>
          </w:p>
          <w:p w14:paraId="50DECF1F">
            <w:pPr>
              <w:spacing w:line="360" w:lineRule="auto"/>
              <w:ind w:left="480" w:hanging="420" w:hangingChars="200"/>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式中：</w:t>
            </w: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w:t>
            </w:r>
            <w:r>
              <w:rPr>
                <w:color w:val="000000" w:themeColor="text1"/>
                <w:sz w:val="21"/>
                <w:szCs w:val="21"/>
                <w:highlight w:val="none"/>
                <w14:textFill>
                  <w14:solidFill>
                    <w14:schemeClr w14:val="tx1"/>
                  </w14:solidFill>
                </w14:textFill>
              </w:rPr>
              <w:t>——预测点的噪声预测值，dB；</w:t>
            </w:r>
          </w:p>
          <w:p w14:paraId="2DE39F88">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eqg</w:t>
            </w:r>
            <w:r>
              <w:rPr>
                <w:color w:val="000000" w:themeColor="text1"/>
                <w:sz w:val="21"/>
                <w:szCs w:val="21"/>
                <w:highlight w:val="none"/>
                <w14:textFill>
                  <w14:solidFill>
                    <w14:schemeClr w14:val="tx1"/>
                  </w14:solidFill>
                </w14:textFill>
              </w:rPr>
              <w:t>——建设项目声源在预测点产生的噪声贡献值，dB；</w:t>
            </w:r>
          </w:p>
          <w:p w14:paraId="56F54DA5">
            <w:pPr>
              <w:spacing w:line="360" w:lineRule="auto"/>
              <w:ind w:firstLine="630" w:firstLineChars="300"/>
              <w:rPr>
                <w:color w:val="000000" w:themeColor="text1"/>
                <w:sz w:val="21"/>
                <w:szCs w:val="21"/>
                <w:highlight w:val="none"/>
                <w14:textFill>
                  <w14:solidFill>
                    <w14:schemeClr w14:val="tx1"/>
                  </w14:solidFill>
                </w14:textFill>
              </w:rPr>
            </w:pPr>
            <w:r>
              <w:rPr>
                <w:i/>
                <w:iCs/>
                <w:color w:val="000000" w:themeColor="text1"/>
                <w:sz w:val="21"/>
                <w:szCs w:val="21"/>
                <w:highlight w:val="none"/>
                <w14:textFill>
                  <w14:solidFill>
                    <w14:schemeClr w14:val="tx1"/>
                  </w14:solidFill>
                </w14:textFill>
              </w:rPr>
              <w:t>L</w:t>
            </w:r>
            <w:r>
              <w:rPr>
                <w:color w:val="000000" w:themeColor="text1"/>
                <w:sz w:val="21"/>
                <w:szCs w:val="21"/>
                <w:highlight w:val="none"/>
                <w:vertAlign w:val="subscript"/>
                <w14:textFill>
                  <w14:solidFill>
                    <w14:schemeClr w14:val="tx1"/>
                  </w14:solidFill>
                </w14:textFill>
              </w:rPr>
              <w:t>eqb</w:t>
            </w:r>
            <w:r>
              <w:rPr>
                <w:color w:val="000000" w:themeColor="text1"/>
                <w:sz w:val="21"/>
                <w:szCs w:val="21"/>
                <w:highlight w:val="none"/>
                <w14:textFill>
                  <w14:solidFill>
                    <w14:schemeClr w14:val="tx1"/>
                  </w14:solidFill>
                </w14:textFill>
              </w:rPr>
              <w:t>——预测点的背景噪声值，dB。</w:t>
            </w:r>
          </w:p>
          <w:p w14:paraId="0AC58B06">
            <w:pPr>
              <w:adjustRightInd w:val="0"/>
              <w:snapToGrid w:val="0"/>
              <w:spacing w:line="360" w:lineRule="auto"/>
              <w:ind w:firstLine="422" w:firstLineChars="200"/>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4）预测结果</w:t>
            </w:r>
          </w:p>
          <w:p w14:paraId="11F7E875">
            <w:pPr>
              <w:adjustRightInd w:val="0"/>
              <w:snapToGrid w:val="0"/>
              <w:spacing w:line="360" w:lineRule="auto"/>
              <w:ind w:firstLine="420" w:firstLineChars="200"/>
              <w:rPr>
                <w:b/>
                <w:color w:val="000000" w:themeColor="text1"/>
                <w:sz w:val="21"/>
                <w:szCs w:val="21"/>
                <w:highlight w:val="none"/>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本项目</w:t>
            </w:r>
            <w:r>
              <w:rPr>
                <w:rFonts w:hint="eastAsia"/>
                <w:bCs/>
                <w:color w:val="000000" w:themeColor="text1"/>
                <w:sz w:val="21"/>
                <w:szCs w:val="21"/>
                <w:highlight w:val="none"/>
                <w14:textFill>
                  <w14:solidFill>
                    <w14:schemeClr w14:val="tx1"/>
                  </w14:solidFill>
                </w14:textFill>
              </w:rPr>
              <w:t>噪声预测结果见表</w:t>
            </w:r>
            <w:r>
              <w:rPr>
                <w:rFonts w:hint="eastAsia"/>
                <w:bCs/>
                <w:color w:val="000000" w:themeColor="text1"/>
                <w:sz w:val="21"/>
                <w:szCs w:val="21"/>
                <w:highlight w:val="none"/>
                <w:lang w:val="en-US" w:eastAsia="zh-CN"/>
                <w14:textFill>
                  <w14:solidFill>
                    <w14:schemeClr w14:val="tx1"/>
                  </w14:solidFill>
                </w14:textFill>
              </w:rPr>
              <w:t>4-12</w:t>
            </w:r>
            <w:r>
              <w:rPr>
                <w:rFonts w:hint="eastAsia"/>
                <w:bCs/>
                <w:color w:val="000000" w:themeColor="text1"/>
                <w:sz w:val="21"/>
                <w:szCs w:val="21"/>
                <w:highlight w:val="none"/>
                <w14:textFill>
                  <w14:solidFill>
                    <w14:schemeClr w14:val="tx1"/>
                  </w14:solidFill>
                </w14:textFill>
              </w:rPr>
              <w:t>。</w:t>
            </w:r>
          </w:p>
          <w:p w14:paraId="0788666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bCs/>
                <w:color w:val="000000" w:themeColor="text1"/>
                <w:sz w:val="21"/>
                <w:szCs w:val="21"/>
                <w:highlight w:val="none"/>
                <w14:textFill>
                  <w14:solidFill>
                    <w14:schemeClr w14:val="tx1"/>
                  </w14:solidFill>
                </w14:textFill>
              </w:rPr>
            </w:pPr>
            <w:r>
              <w:rPr>
                <w:bCs/>
                <w:color w:val="000000" w:themeColor="text1"/>
                <w:sz w:val="21"/>
                <w:szCs w:val="21"/>
                <w:highlight w:val="none"/>
                <w14:textFill>
                  <w14:solidFill>
                    <w14:schemeClr w14:val="tx1"/>
                  </w14:solidFill>
                </w14:textFill>
              </w:rPr>
              <w:t>由</w:t>
            </w:r>
            <w:r>
              <w:rPr>
                <w:rFonts w:hint="eastAsia"/>
                <w:bCs/>
                <w:color w:val="000000" w:themeColor="text1"/>
                <w:sz w:val="21"/>
                <w:szCs w:val="21"/>
                <w:highlight w:val="none"/>
                <w:lang w:val="en-US" w:eastAsia="zh-CN"/>
                <w14:textFill>
                  <w14:solidFill>
                    <w14:schemeClr w14:val="tx1"/>
                  </w14:solidFill>
                </w14:textFill>
              </w:rPr>
              <w:t>预测结果</w:t>
            </w:r>
            <w:r>
              <w:rPr>
                <w:bCs/>
                <w:color w:val="000000" w:themeColor="text1"/>
                <w:sz w:val="21"/>
                <w:szCs w:val="21"/>
                <w:highlight w:val="none"/>
                <w14:textFill>
                  <w14:solidFill>
                    <w14:schemeClr w14:val="tx1"/>
                  </w14:solidFill>
                </w14:textFill>
              </w:rPr>
              <w:t>可见，本项目主要噪声设备经距离衰减和厂房隔声后，到东、南、西</w:t>
            </w:r>
            <w:r>
              <w:rPr>
                <w:rFonts w:hint="eastAsia"/>
                <w:bCs/>
                <w:color w:val="000000" w:themeColor="text1"/>
                <w:sz w:val="21"/>
                <w:szCs w:val="21"/>
                <w:highlight w:val="none"/>
                <w14:textFill>
                  <w14:solidFill>
                    <w14:schemeClr w14:val="tx1"/>
                  </w14:solidFill>
                </w14:textFill>
              </w:rPr>
              <w:t>、</w:t>
            </w:r>
            <w:r>
              <w:rPr>
                <w:bCs/>
                <w:color w:val="000000" w:themeColor="text1"/>
                <w:sz w:val="21"/>
                <w:szCs w:val="21"/>
                <w:highlight w:val="none"/>
                <w14:textFill>
                  <w14:solidFill>
                    <w14:schemeClr w14:val="tx1"/>
                  </w14:solidFill>
                </w14:textFill>
              </w:rPr>
              <w:t>北</w:t>
            </w:r>
            <w:r>
              <w:rPr>
                <w:rFonts w:hint="eastAsia"/>
                <w:bCs/>
                <w:color w:val="000000" w:themeColor="text1"/>
                <w:sz w:val="21"/>
                <w:szCs w:val="21"/>
                <w:highlight w:val="none"/>
                <w:lang w:val="en-US" w:eastAsia="zh-CN"/>
                <w14:textFill>
                  <w14:solidFill>
                    <w14:schemeClr w14:val="tx1"/>
                  </w14:solidFill>
                </w14:textFill>
              </w:rPr>
              <w:t>侧</w:t>
            </w:r>
            <w:r>
              <w:rPr>
                <w:bCs/>
                <w:color w:val="000000" w:themeColor="text1"/>
                <w:sz w:val="21"/>
                <w:szCs w:val="21"/>
                <w:highlight w:val="none"/>
                <w14:textFill>
                  <w14:solidFill>
                    <w14:schemeClr w14:val="tx1"/>
                  </w14:solidFill>
                </w14:textFill>
              </w:rPr>
              <w:t>厂界</w:t>
            </w:r>
            <w:r>
              <w:rPr>
                <w:rFonts w:hint="eastAsia"/>
                <w:bCs/>
                <w:color w:val="000000" w:themeColor="text1"/>
                <w:sz w:val="21"/>
                <w:szCs w:val="21"/>
                <w:highlight w:val="none"/>
                <w:lang w:val="en-US" w:eastAsia="zh-CN"/>
                <w14:textFill>
                  <w14:solidFill>
                    <w14:schemeClr w14:val="tx1"/>
                  </w14:solidFill>
                </w14:textFill>
              </w:rPr>
              <w:t>以及敏感目标的</w:t>
            </w:r>
            <w:r>
              <w:rPr>
                <w:bCs/>
                <w:color w:val="000000" w:themeColor="text1"/>
                <w:sz w:val="21"/>
                <w:szCs w:val="21"/>
                <w:highlight w:val="none"/>
                <w14:textFill>
                  <w14:solidFill>
                    <w14:schemeClr w14:val="tx1"/>
                  </w14:solidFill>
                </w14:textFill>
              </w:rPr>
              <w:t>贡献较小。四周厂界</w:t>
            </w:r>
            <w:r>
              <w:rPr>
                <w:rFonts w:hint="eastAsia"/>
                <w:bCs/>
                <w:color w:val="000000" w:themeColor="text1"/>
                <w:sz w:val="21"/>
                <w:szCs w:val="21"/>
                <w:highlight w:val="none"/>
                <w:lang w:val="en-US" w:eastAsia="zh-CN"/>
                <w14:textFill>
                  <w14:solidFill>
                    <w14:schemeClr w14:val="tx1"/>
                  </w14:solidFill>
                </w14:textFill>
              </w:rPr>
              <w:t>噪声</w:t>
            </w:r>
            <w:r>
              <w:rPr>
                <w:bCs/>
                <w:color w:val="000000" w:themeColor="text1"/>
                <w:sz w:val="21"/>
                <w:szCs w:val="21"/>
                <w:highlight w:val="none"/>
                <w14:textFill>
                  <w14:solidFill>
                    <w14:schemeClr w14:val="tx1"/>
                  </w14:solidFill>
                </w14:textFill>
              </w:rPr>
              <w:t>可以达到《工业企业厂界环境噪声排放标准》（GB12348-2008）表1中</w:t>
            </w:r>
            <w:r>
              <w:rPr>
                <w:rFonts w:hint="eastAsia"/>
                <w:bCs/>
                <w:color w:val="000000" w:themeColor="text1"/>
                <w:sz w:val="21"/>
                <w:szCs w:val="21"/>
                <w:highlight w:val="none"/>
                <w:lang w:val="en-US" w:eastAsia="zh-CN"/>
                <w14:textFill>
                  <w14:solidFill>
                    <w14:schemeClr w14:val="tx1"/>
                  </w14:solidFill>
                </w14:textFill>
              </w:rPr>
              <w:t>相应</w:t>
            </w:r>
            <w:r>
              <w:rPr>
                <w:bCs/>
                <w:color w:val="000000" w:themeColor="text1"/>
                <w:sz w:val="21"/>
                <w:szCs w:val="21"/>
                <w:highlight w:val="none"/>
                <w14:textFill>
                  <w14:solidFill>
                    <w14:schemeClr w14:val="tx1"/>
                  </w14:solidFill>
                </w14:textFill>
              </w:rPr>
              <w:t>标准</w:t>
            </w:r>
            <w:r>
              <w:rPr>
                <w:rFonts w:hint="eastAsia"/>
                <w:bCs/>
                <w:color w:val="000000" w:themeColor="text1"/>
                <w:sz w:val="21"/>
                <w:szCs w:val="21"/>
                <w:highlight w:val="none"/>
                <w:lang w:eastAsia="zh-CN"/>
                <w14:textFill>
                  <w14:solidFill>
                    <w14:schemeClr w14:val="tx1"/>
                  </w14:solidFill>
                </w14:textFill>
              </w:rPr>
              <w:t>，</w:t>
            </w:r>
            <w:r>
              <w:rPr>
                <w:rFonts w:hint="eastAsia"/>
                <w:bCs/>
                <w:color w:val="000000" w:themeColor="text1"/>
                <w:sz w:val="21"/>
                <w:szCs w:val="21"/>
                <w:highlight w:val="none"/>
                <w:lang w:val="en-US" w:eastAsia="zh-CN"/>
                <w14:textFill>
                  <w14:solidFill>
                    <w14:schemeClr w14:val="tx1"/>
                  </w14:solidFill>
                </w14:textFill>
              </w:rPr>
              <w:t>敏感目标噪声</w:t>
            </w:r>
            <w:r>
              <w:rPr>
                <w:bCs/>
                <w:color w:val="000000" w:themeColor="text1"/>
                <w:sz w:val="21"/>
                <w:szCs w:val="21"/>
                <w:highlight w:val="none"/>
                <w14:textFill>
                  <w14:solidFill>
                    <w14:schemeClr w14:val="tx1"/>
                  </w14:solidFill>
                </w14:textFill>
              </w:rPr>
              <w:t>可以达到《工业企业厂界环境噪声排放标准》（GB12348-2008）表1中</w:t>
            </w:r>
            <w:r>
              <w:rPr>
                <w:rFonts w:hint="eastAsia"/>
                <w:bCs/>
                <w:color w:val="000000" w:themeColor="text1"/>
                <w:sz w:val="21"/>
                <w:szCs w:val="21"/>
                <w:highlight w:val="none"/>
                <w:lang w:val="en-US" w:eastAsia="zh-CN"/>
                <w14:textFill>
                  <w14:solidFill>
                    <w14:schemeClr w14:val="tx1"/>
                  </w14:solidFill>
                </w14:textFill>
              </w:rPr>
              <w:t>2</w:t>
            </w:r>
            <w:r>
              <w:rPr>
                <w:bCs/>
                <w:color w:val="000000" w:themeColor="text1"/>
                <w:sz w:val="21"/>
                <w:szCs w:val="21"/>
                <w:highlight w:val="none"/>
                <w14:textFill>
                  <w14:solidFill>
                    <w14:schemeClr w14:val="tx1"/>
                  </w14:solidFill>
                </w14:textFill>
              </w:rPr>
              <w:t>类标准。</w:t>
            </w:r>
          </w:p>
          <w:p w14:paraId="143FDACE">
            <w:pPr>
              <w:adjustRightInd w:val="0"/>
              <w:snapToGrid w:val="0"/>
              <w:spacing w:line="360" w:lineRule="auto"/>
              <w:ind w:firstLine="422" w:firstLineChars="200"/>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3.3</w:t>
            </w:r>
            <w:r>
              <w:rPr>
                <w:rFonts w:hint="eastAsia"/>
                <w:b/>
                <w:color w:val="000000" w:themeColor="text1"/>
                <w:sz w:val="21"/>
                <w:szCs w:val="21"/>
                <w:highlight w:val="none"/>
                <w14:textFill>
                  <w14:solidFill>
                    <w14:schemeClr w14:val="tx1"/>
                  </w14:solidFill>
                </w14:textFill>
              </w:rPr>
              <w:t>噪声防治措施</w:t>
            </w:r>
          </w:p>
          <w:p w14:paraId="380E50DE">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bCs/>
                <w:color w:val="000000" w:themeColor="text1"/>
                <w:sz w:val="21"/>
                <w:szCs w:val="21"/>
                <w:highlight w:val="none"/>
                <w14:textFill>
                  <w14:solidFill>
                    <w14:schemeClr w14:val="tx1"/>
                  </w14:solidFill>
                </w14:textFill>
              </w:rPr>
              <w:t>为减少噪声对厂界的影响，建设单位</w:t>
            </w:r>
            <w:r>
              <w:rPr>
                <w:rFonts w:hint="eastAsia"/>
                <w:bCs/>
                <w:color w:val="000000" w:themeColor="text1"/>
                <w:sz w:val="21"/>
                <w:szCs w:val="21"/>
                <w:highlight w:val="none"/>
                <w14:textFill>
                  <w14:solidFill>
                    <w14:schemeClr w14:val="tx1"/>
                  </w14:solidFill>
                </w14:textFill>
              </w:rPr>
              <w:t>针对新增噪声源噪声产生的特点合理布局、采用减震、隔声、消音的等措施，使项目厂界噪声达标。具体</w:t>
            </w:r>
            <w:r>
              <w:rPr>
                <w:bCs/>
                <w:color w:val="000000" w:themeColor="text1"/>
                <w:sz w:val="21"/>
                <w:szCs w:val="21"/>
                <w:highlight w:val="none"/>
                <w14:textFill>
                  <w14:solidFill>
                    <w14:schemeClr w14:val="tx1"/>
                  </w14:solidFill>
                </w14:textFill>
              </w:rPr>
              <w:t>防噪措施</w:t>
            </w:r>
            <w:r>
              <w:rPr>
                <w:rFonts w:hint="eastAsia"/>
                <w:bCs/>
                <w:color w:val="000000" w:themeColor="text1"/>
                <w:sz w:val="21"/>
                <w:szCs w:val="21"/>
                <w:highlight w:val="none"/>
                <w14:textFill>
                  <w14:solidFill>
                    <w14:schemeClr w14:val="tx1"/>
                  </w14:solidFill>
                </w14:textFill>
              </w:rPr>
              <w:t>如下</w:t>
            </w:r>
            <w:r>
              <w:rPr>
                <w:bCs/>
                <w:color w:val="000000" w:themeColor="text1"/>
                <w:sz w:val="21"/>
                <w:szCs w:val="21"/>
                <w:highlight w:val="none"/>
                <w14:textFill>
                  <w14:solidFill>
                    <w14:schemeClr w14:val="tx1"/>
                  </w14:solidFill>
                </w14:textFill>
              </w:rPr>
              <w:t>：</w:t>
            </w:r>
          </w:p>
          <w:p w14:paraId="64D8C6E6">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（1）</w:t>
            </w:r>
            <w:r>
              <w:rPr>
                <w:bCs/>
                <w:color w:val="000000" w:themeColor="text1"/>
                <w:sz w:val="21"/>
                <w:szCs w:val="21"/>
                <w:highlight w:val="none"/>
                <w14:textFill>
                  <w14:solidFill>
                    <w14:schemeClr w14:val="tx1"/>
                  </w14:solidFill>
                </w14:textFill>
              </w:rPr>
              <w:t>尽量选用低噪声设备，并按照工业设备安装的有关规范，合理平面布局</w:t>
            </w:r>
            <w:r>
              <w:rPr>
                <w:rFonts w:hint="eastAsia"/>
                <w:bCs/>
                <w:color w:val="000000" w:themeColor="text1"/>
                <w:sz w:val="21"/>
                <w:szCs w:val="21"/>
                <w:highlight w:val="none"/>
                <w14:textFill>
                  <w14:solidFill>
                    <w14:schemeClr w14:val="tx1"/>
                  </w14:solidFill>
                </w14:textFill>
              </w:rPr>
              <w:t>；</w:t>
            </w:r>
          </w:p>
          <w:p w14:paraId="785DE495">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（2）</w:t>
            </w:r>
            <w:r>
              <w:rPr>
                <w:bCs/>
                <w:color w:val="000000" w:themeColor="text1"/>
                <w:sz w:val="21"/>
                <w:szCs w:val="21"/>
                <w:highlight w:val="none"/>
                <w14:textFill>
                  <w14:solidFill>
                    <w14:schemeClr w14:val="tx1"/>
                  </w14:solidFill>
                </w14:textFill>
              </w:rPr>
              <w:t>对噪声较高的设备，采取减震和消声措施进行减噪（如底部支撑部位采用螺丝固定，并安装橡胶缓冲垫片），以减轻项目的振动影响</w:t>
            </w:r>
            <w:r>
              <w:rPr>
                <w:rFonts w:hint="eastAsia"/>
                <w:bCs/>
                <w:color w:val="000000" w:themeColor="text1"/>
                <w:sz w:val="21"/>
                <w:szCs w:val="21"/>
                <w:highlight w:val="none"/>
                <w14:textFill>
                  <w14:solidFill>
                    <w14:schemeClr w14:val="tx1"/>
                  </w14:solidFill>
                </w14:textFill>
              </w:rPr>
              <w:t>；</w:t>
            </w:r>
          </w:p>
          <w:p w14:paraId="6E17E69A">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（3）对设备进行经常性维护，保持设备处于良好的运转状态，同时加强内部管理，合理作业，避免不必要的突发性噪声；</w:t>
            </w:r>
          </w:p>
          <w:p w14:paraId="025F1609">
            <w:pPr>
              <w:adjustRightInd w:val="0"/>
              <w:snapToGrid w:val="0"/>
              <w:spacing w:line="360" w:lineRule="auto"/>
              <w:ind w:firstLine="420" w:firstLineChars="200"/>
              <w:rPr>
                <w:rFonts w:hint="eastAsia" w:eastAsia="宋体"/>
                <w:bCs/>
                <w:color w:val="000000" w:themeColor="text1"/>
                <w:sz w:val="21"/>
                <w:szCs w:val="21"/>
                <w:highlight w:val="none"/>
                <w:lang w:eastAsia="zh-CN"/>
                <w14:textFill>
                  <w14:solidFill>
                    <w14:schemeClr w14:val="tx1"/>
                  </w14:solidFill>
                </w14:textFill>
              </w:rPr>
            </w:pPr>
            <w:r>
              <w:rPr>
                <w:rFonts w:hint="eastAsia"/>
                <w:bCs/>
                <w:color w:val="000000" w:themeColor="text1"/>
                <w:sz w:val="21"/>
                <w:szCs w:val="21"/>
                <w:highlight w:val="none"/>
                <w14:textFill>
                  <w14:solidFill>
                    <w14:schemeClr w14:val="tx1"/>
                  </w14:solidFill>
                </w14:textFill>
              </w:rPr>
              <w:t>（4）</w:t>
            </w:r>
            <w:r>
              <w:rPr>
                <w:rFonts w:hint="eastAsia"/>
                <w:bCs/>
                <w:color w:val="000000" w:themeColor="text1"/>
                <w:sz w:val="21"/>
                <w:szCs w:val="21"/>
                <w:highlight w:val="none"/>
                <w:lang w:val="en-US" w:eastAsia="zh-CN"/>
                <w14:textFill>
                  <w14:solidFill>
                    <w14:schemeClr w14:val="tx1"/>
                  </w14:solidFill>
                </w14:textFill>
              </w:rPr>
              <w:t>厂房尽量</w:t>
            </w:r>
            <w:r>
              <w:rPr>
                <w:rFonts w:hint="eastAsia"/>
                <w:bCs/>
                <w:color w:val="000000" w:themeColor="text1"/>
                <w:sz w:val="21"/>
                <w:szCs w:val="21"/>
                <w:highlight w:val="none"/>
                <w14:textFill>
                  <w14:solidFill>
                    <w14:schemeClr w14:val="tx1"/>
                  </w14:solidFill>
                </w14:textFill>
              </w:rPr>
              <w:t>采用实体墙，设备</w:t>
            </w:r>
            <w:r>
              <w:rPr>
                <w:rFonts w:hint="eastAsia"/>
                <w:bCs/>
                <w:color w:val="000000" w:themeColor="text1"/>
                <w:sz w:val="21"/>
                <w:szCs w:val="21"/>
                <w:highlight w:val="none"/>
                <w:lang w:val="en-US" w:eastAsia="zh-CN"/>
                <w14:textFill>
                  <w14:solidFill>
                    <w14:schemeClr w14:val="tx1"/>
                  </w14:solidFill>
                </w14:textFill>
              </w:rPr>
              <w:t>尽量</w:t>
            </w:r>
            <w:r>
              <w:rPr>
                <w:rFonts w:hint="eastAsia"/>
                <w:bCs/>
                <w:color w:val="000000" w:themeColor="text1"/>
                <w:sz w:val="21"/>
                <w:szCs w:val="21"/>
                <w:highlight w:val="none"/>
                <w14:textFill>
                  <w14:solidFill>
                    <w14:schemeClr w14:val="tx1"/>
                  </w14:solidFill>
                </w14:textFill>
              </w:rPr>
              <w:t>设置在</w:t>
            </w:r>
            <w:r>
              <w:rPr>
                <w:rFonts w:hint="eastAsia"/>
                <w:bCs/>
                <w:color w:val="000000" w:themeColor="text1"/>
                <w:sz w:val="21"/>
                <w:szCs w:val="21"/>
                <w:highlight w:val="none"/>
                <w:lang w:val="en-US" w:eastAsia="zh-CN"/>
                <w14:textFill>
                  <w14:solidFill>
                    <w14:schemeClr w14:val="tx1"/>
                  </w14:solidFill>
                </w14:textFill>
              </w:rPr>
              <w:t>厂房</w:t>
            </w:r>
            <w:r>
              <w:rPr>
                <w:rFonts w:hint="eastAsia"/>
                <w:bCs/>
                <w:color w:val="000000" w:themeColor="text1"/>
                <w:sz w:val="21"/>
                <w:szCs w:val="21"/>
                <w:highlight w:val="none"/>
                <w14:textFill>
                  <w14:solidFill>
                    <w14:schemeClr w14:val="tx1"/>
                  </w14:solidFill>
                </w14:textFill>
              </w:rPr>
              <w:t>内，通过建筑物隔声</w:t>
            </w:r>
            <w:r>
              <w:rPr>
                <w:rFonts w:hint="eastAsia"/>
                <w:bCs/>
                <w:color w:val="000000" w:themeColor="text1"/>
                <w:sz w:val="21"/>
                <w:szCs w:val="21"/>
                <w:highlight w:val="none"/>
                <w:lang w:eastAsia="zh-CN"/>
                <w14:textFill>
                  <w14:solidFill>
                    <w14:schemeClr w14:val="tx1"/>
                  </w14:solidFill>
                </w14:textFill>
              </w:rPr>
              <w:t>；</w:t>
            </w:r>
          </w:p>
          <w:p w14:paraId="6BB1CA4C">
            <w:pPr>
              <w:adjustRightInd w:val="0"/>
              <w:snapToGrid w:val="0"/>
              <w:spacing w:line="360" w:lineRule="auto"/>
              <w:ind w:firstLine="420" w:firstLineChars="200"/>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在厂界边界种植草木，利用绿化对声音的吸声效果，降低噪声源强。</w:t>
            </w:r>
          </w:p>
          <w:p w14:paraId="02A06B01">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bCs/>
                <w:color w:val="000000" w:themeColor="text1"/>
                <w:sz w:val="21"/>
                <w:szCs w:val="21"/>
                <w:highlight w:val="none"/>
                <w14:textFill>
                  <w14:solidFill>
                    <w14:schemeClr w14:val="tx1"/>
                  </w14:solidFill>
                </w14:textFill>
              </w:rPr>
              <w:t>经过以上措施处理，</w:t>
            </w:r>
            <w:r>
              <w:rPr>
                <w:rFonts w:hint="eastAsia"/>
                <w:bCs/>
                <w:color w:val="000000" w:themeColor="text1"/>
                <w:sz w:val="21"/>
                <w:szCs w:val="21"/>
                <w:highlight w:val="none"/>
                <w:lang w:val="en-US" w:eastAsia="zh-CN"/>
                <w14:textFill>
                  <w14:solidFill>
                    <w14:schemeClr w14:val="tx1"/>
                  </w14:solidFill>
                </w14:textFill>
              </w:rPr>
              <w:t>厂房</w:t>
            </w:r>
            <w:r>
              <w:rPr>
                <w:bCs/>
                <w:color w:val="000000" w:themeColor="text1"/>
                <w:sz w:val="21"/>
                <w:szCs w:val="21"/>
                <w:highlight w:val="none"/>
                <w14:textFill>
                  <w14:solidFill>
                    <w14:schemeClr w14:val="tx1"/>
                  </w14:solidFill>
                </w14:textFill>
              </w:rPr>
              <w:t>设计隔声达20dB（A）以上，预计厂界噪声可满足《工业企业厂界环境噪声排放标准》（GB12348-2008）中的</w:t>
            </w:r>
            <w:r>
              <w:rPr>
                <w:rFonts w:hint="eastAsia"/>
                <w:bCs/>
                <w:color w:val="000000" w:themeColor="text1"/>
                <w:sz w:val="21"/>
                <w:szCs w:val="21"/>
                <w:highlight w:val="none"/>
                <w:lang w:val="en-US" w:eastAsia="zh-CN"/>
                <w14:textFill>
                  <w14:solidFill>
                    <w14:schemeClr w14:val="tx1"/>
                  </w14:solidFill>
                </w14:textFill>
              </w:rPr>
              <w:t>相应</w:t>
            </w:r>
            <w:r>
              <w:rPr>
                <w:bCs/>
                <w:color w:val="000000" w:themeColor="text1"/>
                <w:sz w:val="21"/>
                <w:szCs w:val="21"/>
                <w:highlight w:val="none"/>
                <w14:textFill>
                  <w14:solidFill>
                    <w14:schemeClr w14:val="tx1"/>
                  </w14:solidFill>
                </w14:textFill>
              </w:rPr>
              <w:t>标准</w:t>
            </w:r>
            <w:r>
              <w:rPr>
                <w:rFonts w:hint="eastAsia"/>
                <w:bCs/>
                <w:color w:val="000000" w:themeColor="text1"/>
                <w:sz w:val="21"/>
                <w:szCs w:val="21"/>
                <w:highlight w:val="none"/>
                <w:lang w:eastAsia="zh-CN"/>
                <w14:textFill>
                  <w14:solidFill>
                    <w14:schemeClr w14:val="tx1"/>
                  </w14:solidFill>
                </w14:textFill>
              </w:rPr>
              <w:t>，</w:t>
            </w:r>
            <w:r>
              <w:rPr>
                <w:rFonts w:hint="eastAsia"/>
                <w:bCs/>
                <w:color w:val="000000" w:themeColor="text1"/>
                <w:sz w:val="21"/>
                <w:szCs w:val="21"/>
                <w:highlight w:val="none"/>
                <w:lang w:val="en-US" w:eastAsia="zh-CN"/>
                <w14:textFill>
                  <w14:solidFill>
                    <w14:schemeClr w14:val="tx1"/>
                  </w14:solidFill>
                </w14:textFill>
              </w:rPr>
              <w:t>敏感目标噪声</w:t>
            </w:r>
            <w:r>
              <w:rPr>
                <w:bCs/>
                <w:color w:val="000000" w:themeColor="text1"/>
                <w:sz w:val="21"/>
                <w:szCs w:val="21"/>
                <w:highlight w:val="none"/>
                <w14:textFill>
                  <w14:solidFill>
                    <w14:schemeClr w14:val="tx1"/>
                  </w14:solidFill>
                </w14:textFill>
              </w:rPr>
              <w:t>可满足《工业企业厂界环境噪声排放标准》（GB12348-2008）表1中</w:t>
            </w:r>
            <w:r>
              <w:rPr>
                <w:rFonts w:hint="eastAsia"/>
                <w:bCs/>
                <w:color w:val="000000" w:themeColor="text1"/>
                <w:sz w:val="21"/>
                <w:szCs w:val="21"/>
                <w:highlight w:val="none"/>
                <w:lang w:val="en-US" w:eastAsia="zh-CN"/>
                <w14:textFill>
                  <w14:solidFill>
                    <w14:schemeClr w14:val="tx1"/>
                  </w14:solidFill>
                </w14:textFill>
              </w:rPr>
              <w:t>2</w:t>
            </w:r>
            <w:r>
              <w:rPr>
                <w:bCs/>
                <w:color w:val="000000" w:themeColor="text1"/>
                <w:sz w:val="21"/>
                <w:szCs w:val="21"/>
                <w:highlight w:val="none"/>
                <w14:textFill>
                  <w14:solidFill>
                    <w14:schemeClr w14:val="tx1"/>
                  </w14:solidFill>
                </w14:textFill>
              </w:rPr>
              <w:t>类标准</w:t>
            </w:r>
            <w:r>
              <w:rPr>
                <w:rFonts w:hint="eastAsia"/>
                <w:bCs/>
                <w:color w:val="000000" w:themeColor="text1"/>
                <w:sz w:val="21"/>
                <w:szCs w:val="21"/>
                <w:highlight w:val="none"/>
                <w:lang w:eastAsia="zh-CN"/>
                <w14:textFill>
                  <w14:solidFill>
                    <w14:schemeClr w14:val="tx1"/>
                  </w14:solidFill>
                </w14:textFill>
              </w:rPr>
              <w:t>，</w:t>
            </w:r>
            <w:r>
              <w:rPr>
                <w:bCs/>
                <w:color w:val="000000" w:themeColor="text1"/>
                <w:sz w:val="21"/>
                <w:szCs w:val="21"/>
                <w:highlight w:val="none"/>
                <w14:textFill>
                  <w14:solidFill>
                    <w14:schemeClr w14:val="tx1"/>
                  </w14:solidFill>
                </w14:textFill>
              </w:rPr>
              <w:t>对周围环境影响较小。</w:t>
            </w:r>
          </w:p>
          <w:p w14:paraId="5A3799EE">
            <w:pPr>
              <w:adjustRightInd w:val="0"/>
              <w:snapToGrid w:val="0"/>
              <w:spacing w:line="360" w:lineRule="auto"/>
              <w:ind w:firstLine="422" w:firstLineChars="200"/>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3.4</w:t>
            </w:r>
            <w:r>
              <w:rPr>
                <w:rFonts w:hint="eastAsia"/>
                <w:b/>
                <w:color w:val="000000" w:themeColor="text1"/>
                <w:sz w:val="21"/>
                <w:szCs w:val="21"/>
                <w:highlight w:val="none"/>
                <w14:textFill>
                  <w14:solidFill>
                    <w14:schemeClr w14:val="tx1"/>
                  </w14:solidFill>
                </w14:textFill>
              </w:rPr>
              <w:t>噪声监测计划</w:t>
            </w:r>
          </w:p>
          <w:p w14:paraId="4A20D3C5">
            <w:pPr>
              <w:adjustRightInd w:val="0"/>
              <w:snapToGrid w:val="0"/>
              <w:spacing w:line="360" w:lineRule="auto"/>
              <w:ind w:firstLine="420" w:firstLineChars="200"/>
              <w:rPr>
                <w:bCs/>
                <w:color w:val="000000" w:themeColor="text1"/>
                <w:sz w:val="21"/>
                <w:szCs w:val="21"/>
                <w:highlight w:val="none"/>
                <w14:textFill>
                  <w14:solidFill>
                    <w14:schemeClr w14:val="tx1"/>
                  </w14:solidFill>
                </w14:textFill>
              </w:rPr>
            </w:pPr>
            <w:r>
              <w:rPr>
                <w:bCs/>
                <w:color w:val="000000" w:themeColor="text1"/>
                <w:sz w:val="21"/>
                <w:szCs w:val="21"/>
                <w:highlight w:val="none"/>
                <w14:textFill>
                  <w14:solidFill>
                    <w14:schemeClr w14:val="tx1"/>
                  </w14:solidFill>
                </w14:textFill>
              </w:rPr>
              <w:t>根据《排污单位自行监测技术指南</w:t>
            </w:r>
            <w:r>
              <w:rPr>
                <w:rFonts w:hint="eastAsia"/>
                <w:bCs/>
                <w:color w:val="000000" w:themeColor="text1"/>
                <w:sz w:val="21"/>
                <w:szCs w:val="21"/>
                <w:highlight w:val="none"/>
                <w14:textFill>
                  <w14:solidFill>
                    <w14:schemeClr w14:val="tx1"/>
                  </w14:solidFill>
                </w14:textFill>
              </w:rPr>
              <w:t>总则</w:t>
            </w:r>
            <w:r>
              <w:rPr>
                <w:bCs/>
                <w:color w:val="000000" w:themeColor="text1"/>
                <w:sz w:val="21"/>
                <w:szCs w:val="21"/>
                <w:highlight w:val="none"/>
                <w14:textFill>
                  <w14:solidFill>
                    <w14:schemeClr w14:val="tx1"/>
                  </w14:solidFill>
                </w14:textFill>
              </w:rPr>
              <w:t>》（HJ819-2017）</w:t>
            </w:r>
            <w:r>
              <w:rPr>
                <w:rFonts w:hint="eastAsia"/>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Cs w:val="21"/>
                <w:highlight w:val="none"/>
                <w14:textFill>
                  <w14:solidFill>
                    <w14:schemeClr w14:val="tx1"/>
                  </w14:solidFill>
                </w14:textFill>
              </w:rPr>
              <w:t xml:space="preserve">《排污单位自行监测技术指南 </w:t>
            </w:r>
            <w:r>
              <w:rPr>
                <w:rFonts w:hint="default" w:ascii="Times New Roman" w:hAnsi="Times New Roman" w:eastAsia="宋体" w:cs="Times New Roman"/>
                <w:color w:val="000000" w:themeColor="text1"/>
                <w:highlight w:val="none"/>
                <w14:textFill>
                  <w14:solidFill>
                    <w14:schemeClr w14:val="tx1"/>
                  </w14:solidFill>
                </w14:textFill>
              </w:rPr>
              <w:t>火力发电及锅炉》（HJ820-2017）</w:t>
            </w:r>
            <w:r>
              <w:rPr>
                <w:bCs/>
                <w:color w:val="000000" w:themeColor="text1"/>
                <w:sz w:val="21"/>
                <w:szCs w:val="21"/>
                <w:highlight w:val="none"/>
                <w14:textFill>
                  <w14:solidFill>
                    <w14:schemeClr w14:val="tx1"/>
                  </w14:solidFill>
                </w14:textFill>
              </w:rPr>
              <w:t>的要求，本项目建成后有关噪声监测项目及监测频次见</w:t>
            </w:r>
            <w:r>
              <w:rPr>
                <w:rFonts w:hint="eastAsia"/>
                <w:bCs/>
                <w:color w:val="000000" w:themeColor="text1"/>
                <w:sz w:val="21"/>
                <w:szCs w:val="21"/>
                <w:highlight w:val="none"/>
                <w:lang w:val="en-US" w:eastAsia="zh-CN"/>
                <w14:textFill>
                  <w14:solidFill>
                    <w14:schemeClr w14:val="tx1"/>
                  </w14:solidFill>
                </w14:textFill>
              </w:rPr>
              <w:t>下表</w:t>
            </w:r>
            <w:r>
              <w:rPr>
                <w:bCs/>
                <w:color w:val="000000" w:themeColor="text1"/>
                <w:sz w:val="21"/>
                <w:szCs w:val="21"/>
                <w:highlight w:val="none"/>
                <w14:textFill>
                  <w14:solidFill>
                    <w14:schemeClr w14:val="tx1"/>
                  </w14:solidFill>
                </w14:textFill>
              </w:rPr>
              <w:t>。</w:t>
            </w:r>
          </w:p>
          <w:p w14:paraId="3602A212">
            <w:pPr>
              <w:adjustRightInd w:val="0"/>
              <w:snapToGrid w:val="0"/>
              <w:spacing w:line="240" w:lineRule="auto"/>
              <w:jc w:val="center"/>
              <w:rPr>
                <w:rFonts w:hint="eastAsia"/>
                <w:b/>
                <w:color w:val="000000" w:themeColor="text1"/>
                <w:sz w:val="21"/>
                <w:szCs w:val="21"/>
                <w:highlight w:val="none"/>
                <w14:textFill>
                  <w14:solidFill>
                    <w14:schemeClr w14:val="tx1"/>
                  </w14:solidFill>
                </w14:textFill>
              </w:rPr>
            </w:pPr>
          </w:p>
          <w:p w14:paraId="72552D78">
            <w:pPr>
              <w:adjustRightInd w:val="0"/>
              <w:snapToGrid w:val="0"/>
              <w:spacing w:line="240" w:lineRule="auto"/>
              <w:jc w:val="center"/>
              <w:rPr>
                <w:rFonts w:hint="eastAsia"/>
                <w:b/>
                <w:color w:val="000000" w:themeColor="text1"/>
                <w:sz w:val="21"/>
                <w:szCs w:val="21"/>
                <w:highlight w:val="none"/>
                <w14:textFill>
                  <w14:solidFill>
                    <w14:schemeClr w14:val="tx1"/>
                  </w14:solidFill>
                </w14:textFill>
              </w:rPr>
            </w:pPr>
          </w:p>
          <w:p w14:paraId="1E9035F6">
            <w:pPr>
              <w:adjustRightInd w:val="0"/>
              <w:snapToGrid w:val="0"/>
              <w:spacing w:line="240" w:lineRule="auto"/>
              <w:jc w:val="center"/>
              <w:rPr>
                <w:b/>
                <w:color w:val="000000" w:themeColor="text1"/>
                <w:sz w:val="21"/>
                <w:szCs w:val="21"/>
                <w:highlight w:val="none"/>
                <w14:textFill>
                  <w14:solidFill>
                    <w14:schemeClr w14:val="tx1"/>
                  </w14:solidFill>
                </w14:textFill>
              </w:rPr>
            </w:pPr>
            <w:r>
              <w:rPr>
                <w:rFonts w:hint="eastAsia"/>
                <w:b w:val="0"/>
                <w:bCs/>
                <w:color w:val="000000" w:themeColor="text1"/>
                <w:sz w:val="21"/>
                <w:szCs w:val="21"/>
                <w:highlight w:val="none"/>
                <w14:textFill>
                  <w14:solidFill>
                    <w14:schemeClr w14:val="tx1"/>
                  </w14:solidFill>
                </w14:textFill>
              </w:rPr>
              <w:t>表4-</w:t>
            </w:r>
            <w:r>
              <w:rPr>
                <w:rFonts w:hint="eastAsia"/>
                <w:b w:val="0"/>
                <w:bCs/>
                <w:color w:val="000000" w:themeColor="text1"/>
                <w:sz w:val="21"/>
                <w:szCs w:val="21"/>
                <w:highlight w:val="none"/>
                <w:lang w:val="en-US" w:eastAsia="zh-CN"/>
                <w14:textFill>
                  <w14:solidFill>
                    <w14:schemeClr w14:val="tx1"/>
                  </w14:solidFill>
                </w14:textFill>
              </w:rPr>
              <w:t xml:space="preserve">13  </w:t>
            </w:r>
            <w:r>
              <w:rPr>
                <w:rFonts w:hint="eastAsia"/>
                <w:b w:val="0"/>
                <w:bCs/>
                <w:color w:val="000000" w:themeColor="text1"/>
                <w:sz w:val="21"/>
                <w:szCs w:val="21"/>
                <w:highlight w:val="none"/>
                <w14:textFill>
                  <w14:solidFill>
                    <w14:schemeClr w14:val="tx1"/>
                  </w14:solidFill>
                </w14:textFill>
              </w:rPr>
              <w:t xml:space="preserve"> 噪声监测计划表</w:t>
            </w:r>
          </w:p>
          <w:tbl>
            <w:tblPr>
              <w:tblStyle w:val="3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612"/>
              <w:gridCol w:w="1250"/>
              <w:gridCol w:w="1225"/>
              <w:gridCol w:w="3218"/>
            </w:tblGrid>
            <w:tr w14:paraId="6A6923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tcBorders>
                    <w:tl2br w:val="nil"/>
                    <w:tr2bl w:val="nil"/>
                  </w:tcBorders>
                  <w:vAlign w:val="center"/>
                </w:tcPr>
                <w:p w14:paraId="4EAC99E2">
                  <w:pPr>
                    <w:adjustRightInd w:val="0"/>
                    <w:snapToGrid w:val="0"/>
                    <w:spacing w:line="240" w:lineRule="auto"/>
                    <w:jc w:val="center"/>
                    <w:rPr>
                      <w:b/>
                      <w:color w:val="000000" w:themeColor="text1"/>
                      <w:sz w:val="18"/>
                      <w:szCs w:val="18"/>
                      <w:highlight w:val="none"/>
                      <w14:textFill>
                        <w14:solidFill>
                          <w14:schemeClr w14:val="tx1"/>
                        </w14:solidFill>
                      </w14:textFill>
                    </w:rPr>
                  </w:pPr>
                  <w:r>
                    <w:rPr>
                      <w:rFonts w:hint="eastAsia"/>
                      <w:b/>
                      <w:color w:val="000000" w:themeColor="text1"/>
                      <w:sz w:val="18"/>
                      <w:szCs w:val="18"/>
                      <w:highlight w:val="none"/>
                      <w14:textFill>
                        <w14:solidFill>
                          <w14:schemeClr w14:val="tx1"/>
                        </w14:solidFill>
                      </w14:textFill>
                    </w:rPr>
                    <w:t>污染类型</w:t>
                  </w:r>
                </w:p>
              </w:tc>
              <w:tc>
                <w:tcPr>
                  <w:tcW w:w="1612" w:type="dxa"/>
                  <w:tcBorders>
                    <w:tl2br w:val="nil"/>
                    <w:tr2bl w:val="nil"/>
                  </w:tcBorders>
                  <w:vAlign w:val="center"/>
                </w:tcPr>
                <w:p w14:paraId="344D12E6">
                  <w:pPr>
                    <w:adjustRightInd w:val="0"/>
                    <w:snapToGrid w:val="0"/>
                    <w:spacing w:line="240" w:lineRule="auto"/>
                    <w:jc w:val="center"/>
                    <w:rPr>
                      <w:b/>
                      <w:color w:val="000000" w:themeColor="text1"/>
                      <w:sz w:val="18"/>
                      <w:szCs w:val="18"/>
                      <w:highlight w:val="none"/>
                      <w14:textFill>
                        <w14:solidFill>
                          <w14:schemeClr w14:val="tx1"/>
                        </w14:solidFill>
                      </w14:textFill>
                    </w:rPr>
                  </w:pPr>
                  <w:r>
                    <w:rPr>
                      <w:rFonts w:hint="eastAsia"/>
                      <w:b/>
                      <w:color w:val="000000" w:themeColor="text1"/>
                      <w:sz w:val="18"/>
                      <w:szCs w:val="18"/>
                      <w:highlight w:val="none"/>
                      <w14:textFill>
                        <w14:solidFill>
                          <w14:schemeClr w14:val="tx1"/>
                        </w14:solidFill>
                      </w14:textFill>
                    </w:rPr>
                    <w:t>监测点位</w:t>
                  </w:r>
                </w:p>
              </w:tc>
              <w:tc>
                <w:tcPr>
                  <w:tcW w:w="1250" w:type="dxa"/>
                  <w:tcBorders>
                    <w:tl2br w:val="nil"/>
                    <w:tr2bl w:val="nil"/>
                  </w:tcBorders>
                  <w:vAlign w:val="center"/>
                </w:tcPr>
                <w:p w14:paraId="5E8D738C">
                  <w:pPr>
                    <w:adjustRightInd w:val="0"/>
                    <w:snapToGrid w:val="0"/>
                    <w:spacing w:line="240" w:lineRule="auto"/>
                    <w:jc w:val="center"/>
                    <w:rPr>
                      <w:b/>
                      <w:color w:val="000000" w:themeColor="text1"/>
                      <w:sz w:val="18"/>
                      <w:szCs w:val="18"/>
                      <w:highlight w:val="none"/>
                      <w14:textFill>
                        <w14:solidFill>
                          <w14:schemeClr w14:val="tx1"/>
                        </w14:solidFill>
                      </w14:textFill>
                    </w:rPr>
                  </w:pPr>
                  <w:r>
                    <w:rPr>
                      <w:rFonts w:hint="eastAsia"/>
                      <w:b/>
                      <w:color w:val="000000" w:themeColor="text1"/>
                      <w:sz w:val="18"/>
                      <w:szCs w:val="18"/>
                      <w:highlight w:val="none"/>
                      <w14:textFill>
                        <w14:solidFill>
                          <w14:schemeClr w14:val="tx1"/>
                        </w14:solidFill>
                      </w14:textFill>
                    </w:rPr>
                    <w:t>监测项目</w:t>
                  </w:r>
                </w:p>
              </w:tc>
              <w:tc>
                <w:tcPr>
                  <w:tcW w:w="1225" w:type="dxa"/>
                  <w:tcBorders>
                    <w:tl2br w:val="nil"/>
                    <w:tr2bl w:val="nil"/>
                  </w:tcBorders>
                  <w:vAlign w:val="center"/>
                </w:tcPr>
                <w:p w14:paraId="0136FF85">
                  <w:pPr>
                    <w:adjustRightInd w:val="0"/>
                    <w:snapToGrid w:val="0"/>
                    <w:spacing w:line="240" w:lineRule="auto"/>
                    <w:jc w:val="center"/>
                    <w:rPr>
                      <w:b/>
                      <w:color w:val="000000" w:themeColor="text1"/>
                      <w:sz w:val="18"/>
                      <w:szCs w:val="18"/>
                      <w:highlight w:val="none"/>
                      <w14:textFill>
                        <w14:solidFill>
                          <w14:schemeClr w14:val="tx1"/>
                        </w14:solidFill>
                      </w14:textFill>
                    </w:rPr>
                  </w:pPr>
                  <w:r>
                    <w:rPr>
                      <w:rFonts w:hint="eastAsia"/>
                      <w:b/>
                      <w:color w:val="000000" w:themeColor="text1"/>
                      <w:sz w:val="18"/>
                      <w:szCs w:val="18"/>
                      <w:highlight w:val="none"/>
                      <w14:textFill>
                        <w14:solidFill>
                          <w14:schemeClr w14:val="tx1"/>
                        </w14:solidFill>
                      </w14:textFill>
                    </w:rPr>
                    <w:t>监测频次</w:t>
                  </w:r>
                </w:p>
              </w:tc>
              <w:tc>
                <w:tcPr>
                  <w:tcW w:w="3218" w:type="dxa"/>
                  <w:tcBorders>
                    <w:tl2br w:val="nil"/>
                    <w:tr2bl w:val="nil"/>
                  </w:tcBorders>
                  <w:vAlign w:val="center"/>
                </w:tcPr>
                <w:p w14:paraId="08E83851">
                  <w:pPr>
                    <w:adjustRightInd w:val="0"/>
                    <w:snapToGrid w:val="0"/>
                    <w:spacing w:line="240" w:lineRule="auto"/>
                    <w:jc w:val="center"/>
                    <w:rPr>
                      <w:rFonts w:hint="default" w:eastAsia="宋体"/>
                      <w:b/>
                      <w:color w:val="000000" w:themeColor="text1"/>
                      <w:sz w:val="18"/>
                      <w:szCs w:val="18"/>
                      <w:highlight w:val="none"/>
                      <w:lang w:val="en-US" w:eastAsia="zh-CN"/>
                      <w14:textFill>
                        <w14:solidFill>
                          <w14:schemeClr w14:val="tx1"/>
                        </w14:solidFill>
                      </w14:textFill>
                    </w:rPr>
                  </w:pPr>
                  <w:r>
                    <w:rPr>
                      <w:rFonts w:hint="eastAsia"/>
                      <w:b/>
                      <w:color w:val="000000" w:themeColor="text1"/>
                      <w:sz w:val="18"/>
                      <w:szCs w:val="18"/>
                      <w:highlight w:val="none"/>
                      <w:lang w:val="en-US" w:eastAsia="zh-CN"/>
                      <w14:textFill>
                        <w14:solidFill>
                          <w14:schemeClr w14:val="tx1"/>
                        </w14:solidFill>
                      </w14:textFill>
                    </w:rPr>
                    <w:t>执行标准</w:t>
                  </w:r>
                </w:p>
              </w:tc>
            </w:tr>
            <w:tr w14:paraId="1BAC39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restart"/>
                  <w:tcBorders>
                    <w:tl2br w:val="nil"/>
                    <w:tr2bl w:val="nil"/>
                  </w:tcBorders>
                  <w:vAlign w:val="center"/>
                </w:tcPr>
                <w:p w14:paraId="425C4CE2">
                  <w:pPr>
                    <w:adjustRightInd w:val="0"/>
                    <w:snapToGrid w:val="0"/>
                    <w:spacing w:line="240" w:lineRule="auto"/>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噪声</w:t>
                  </w:r>
                </w:p>
              </w:tc>
              <w:tc>
                <w:tcPr>
                  <w:tcW w:w="1612" w:type="dxa"/>
                  <w:tcBorders>
                    <w:tl2br w:val="nil"/>
                    <w:tr2bl w:val="nil"/>
                  </w:tcBorders>
                  <w:vAlign w:val="center"/>
                </w:tcPr>
                <w:p w14:paraId="4D25F075">
                  <w:pPr>
                    <w:adjustRightInd w:val="0"/>
                    <w:snapToGrid w:val="0"/>
                    <w:spacing w:line="240" w:lineRule="auto"/>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西、南厂界</w:t>
                  </w:r>
                </w:p>
                <w:p w14:paraId="6754101D">
                  <w:pPr>
                    <w:adjustRightInd w:val="0"/>
                    <w:snapToGrid w:val="0"/>
                    <w:spacing w:line="240" w:lineRule="auto"/>
                    <w:jc w:val="center"/>
                    <w:rPr>
                      <w:rFonts w:hint="default" w:eastAsia="宋体"/>
                      <w:bCs/>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（厂界外1m）</w:t>
                  </w:r>
                </w:p>
              </w:tc>
              <w:tc>
                <w:tcPr>
                  <w:tcW w:w="1250" w:type="dxa"/>
                  <w:vMerge w:val="restart"/>
                  <w:tcBorders>
                    <w:tl2br w:val="nil"/>
                    <w:tr2bl w:val="nil"/>
                  </w:tcBorders>
                  <w:vAlign w:val="center"/>
                </w:tcPr>
                <w:p w14:paraId="1DBFD968">
                  <w:pPr>
                    <w:adjustRightInd w:val="0"/>
                    <w:snapToGrid w:val="0"/>
                    <w:spacing w:line="240" w:lineRule="auto"/>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等效连续A声级</w:t>
                  </w:r>
                </w:p>
              </w:tc>
              <w:tc>
                <w:tcPr>
                  <w:tcW w:w="1225" w:type="dxa"/>
                  <w:vMerge w:val="restart"/>
                  <w:tcBorders>
                    <w:tl2br w:val="nil"/>
                    <w:tr2bl w:val="nil"/>
                  </w:tcBorders>
                  <w:vAlign w:val="center"/>
                </w:tcPr>
                <w:p w14:paraId="6D570627">
                  <w:pPr>
                    <w:adjustRightInd w:val="0"/>
                    <w:snapToGrid w:val="0"/>
                    <w:spacing w:line="240" w:lineRule="auto"/>
                    <w:jc w:val="center"/>
                    <w:rPr>
                      <w:bCs/>
                      <w:color w:val="000000" w:themeColor="text1"/>
                      <w:sz w:val="18"/>
                      <w:szCs w:val="18"/>
                      <w:highlight w:val="none"/>
                      <w14:textFill>
                        <w14:solidFill>
                          <w14:schemeClr w14:val="tx1"/>
                        </w14:solidFill>
                      </w14:textFill>
                    </w:rPr>
                  </w:pPr>
                  <w:r>
                    <w:rPr>
                      <w:rFonts w:hint="eastAsia"/>
                      <w:bCs/>
                      <w:color w:val="000000" w:themeColor="text1"/>
                      <w:sz w:val="18"/>
                      <w:szCs w:val="18"/>
                      <w:highlight w:val="none"/>
                      <w14:textFill>
                        <w14:solidFill>
                          <w14:schemeClr w14:val="tx1"/>
                        </w14:solidFill>
                      </w14:textFill>
                    </w:rPr>
                    <w:t>1次/季度</w:t>
                  </w:r>
                </w:p>
              </w:tc>
              <w:tc>
                <w:tcPr>
                  <w:tcW w:w="3218" w:type="dxa"/>
                  <w:tcBorders>
                    <w:tl2br w:val="nil"/>
                    <w:tr2bl w:val="nil"/>
                  </w:tcBorders>
                  <w:shd w:val="clear" w:color="auto" w:fill="auto"/>
                  <w:vAlign w:val="center"/>
                </w:tcPr>
                <w:p w14:paraId="475150D0">
                  <w:pPr>
                    <w:widowControl/>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4a</w:t>
                  </w:r>
                  <w:r>
                    <w:rPr>
                      <w:rFonts w:hint="default" w:ascii="Times New Roman" w:hAnsi="Times New Roman" w:eastAsia="宋体" w:cs="Times New Roman"/>
                      <w:color w:val="000000" w:themeColor="text1"/>
                      <w:sz w:val="18"/>
                      <w:szCs w:val="18"/>
                      <w:highlight w:val="none"/>
                      <w14:textFill>
                        <w14:solidFill>
                          <w14:schemeClr w14:val="tx1"/>
                        </w14:solidFill>
                      </w14:textFill>
                    </w:rPr>
                    <w:t>类标准</w:t>
                  </w:r>
                </w:p>
              </w:tc>
            </w:tr>
            <w:tr w14:paraId="4FEF28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continue"/>
                  <w:tcBorders>
                    <w:tl2br w:val="nil"/>
                    <w:tr2bl w:val="nil"/>
                  </w:tcBorders>
                  <w:vAlign w:val="center"/>
                </w:tcPr>
                <w:p w14:paraId="1BCC7607">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1612" w:type="dxa"/>
                  <w:tcBorders>
                    <w:tl2br w:val="nil"/>
                    <w:tr2bl w:val="nil"/>
                  </w:tcBorders>
                  <w:shd w:val="clear" w:color="auto" w:fill="auto"/>
                  <w:vAlign w:val="center"/>
                </w:tcPr>
                <w:p w14:paraId="4939E981">
                  <w:pPr>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东厂界</w:t>
                  </w:r>
                </w:p>
                <w:p w14:paraId="11293C65">
                  <w:pPr>
                    <w:spacing w:line="240" w:lineRule="exact"/>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（厂界外1m）</w:t>
                  </w:r>
                </w:p>
              </w:tc>
              <w:tc>
                <w:tcPr>
                  <w:tcW w:w="1250" w:type="dxa"/>
                  <w:vMerge w:val="continue"/>
                  <w:tcBorders>
                    <w:tl2br w:val="nil"/>
                    <w:tr2bl w:val="nil"/>
                  </w:tcBorders>
                  <w:vAlign w:val="center"/>
                </w:tcPr>
                <w:p w14:paraId="7BDE3A91">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1225" w:type="dxa"/>
                  <w:vMerge w:val="continue"/>
                  <w:tcBorders>
                    <w:tl2br w:val="nil"/>
                    <w:tr2bl w:val="nil"/>
                  </w:tcBorders>
                  <w:vAlign w:val="center"/>
                </w:tcPr>
                <w:p w14:paraId="737F441F">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3218" w:type="dxa"/>
                  <w:tcBorders>
                    <w:tl2br w:val="nil"/>
                    <w:tr2bl w:val="nil"/>
                  </w:tcBorders>
                  <w:shd w:val="clear" w:color="auto" w:fill="auto"/>
                  <w:vAlign w:val="center"/>
                </w:tcPr>
                <w:p w14:paraId="3EB369B4">
                  <w:pPr>
                    <w:widowControl/>
                    <w:spacing w:line="240" w:lineRule="exact"/>
                    <w:jc w:val="center"/>
                    <w:rPr>
                      <w:rFonts w:hint="default"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18"/>
                      <w:szCs w:val="18"/>
                      <w:highlight w:val="none"/>
                      <w14:textFill>
                        <w14:solidFill>
                          <w14:schemeClr w14:val="tx1"/>
                        </w14:solidFill>
                      </w14:textFill>
                    </w:rPr>
                    <w:t>类标准</w:t>
                  </w:r>
                </w:p>
              </w:tc>
            </w:tr>
            <w:tr w14:paraId="5C1B8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vMerge w:val="continue"/>
                  <w:tcBorders>
                    <w:tl2br w:val="nil"/>
                    <w:tr2bl w:val="nil"/>
                  </w:tcBorders>
                  <w:vAlign w:val="center"/>
                </w:tcPr>
                <w:p w14:paraId="773796B9">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1612" w:type="dxa"/>
                  <w:tcBorders>
                    <w:tl2br w:val="nil"/>
                    <w:tr2bl w:val="nil"/>
                  </w:tcBorders>
                  <w:shd w:val="clear" w:color="auto" w:fill="auto"/>
                  <w:vAlign w:val="center"/>
                </w:tcPr>
                <w:p w14:paraId="4225D1B6">
                  <w:pPr>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北厂界</w:t>
                  </w:r>
                </w:p>
                <w:p w14:paraId="0CBBB391">
                  <w:pPr>
                    <w:spacing w:line="240" w:lineRule="exact"/>
                    <w:jc w:val="center"/>
                    <w:rPr>
                      <w:rFonts w:hint="eastAsia" w:ascii="Times New Roman" w:hAnsi="Times New Roman" w:eastAsia="宋体" w:cs="Times New Roman"/>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（厂界外1m）</w:t>
                  </w:r>
                </w:p>
              </w:tc>
              <w:tc>
                <w:tcPr>
                  <w:tcW w:w="1250" w:type="dxa"/>
                  <w:vMerge w:val="continue"/>
                  <w:tcBorders>
                    <w:tl2br w:val="nil"/>
                    <w:tr2bl w:val="nil"/>
                  </w:tcBorders>
                  <w:vAlign w:val="center"/>
                </w:tcPr>
                <w:p w14:paraId="27AB32D2">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1225" w:type="dxa"/>
                  <w:vMerge w:val="continue"/>
                  <w:tcBorders>
                    <w:tl2br w:val="nil"/>
                    <w:tr2bl w:val="nil"/>
                  </w:tcBorders>
                  <w:vAlign w:val="center"/>
                </w:tcPr>
                <w:p w14:paraId="65BDAE6A">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p>
              </w:tc>
              <w:tc>
                <w:tcPr>
                  <w:tcW w:w="3218" w:type="dxa"/>
                  <w:tcBorders>
                    <w:tl2br w:val="nil"/>
                    <w:tr2bl w:val="nil"/>
                  </w:tcBorders>
                  <w:vAlign w:val="center"/>
                </w:tcPr>
                <w:p w14:paraId="7A64592C">
                  <w:pPr>
                    <w:adjustRightInd w:val="0"/>
                    <w:snapToGrid w:val="0"/>
                    <w:spacing w:line="240" w:lineRule="auto"/>
                    <w:jc w:val="center"/>
                    <w:rPr>
                      <w:rFonts w:hint="eastAsia"/>
                      <w:bCs/>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18"/>
                      <w:szCs w:val="18"/>
                      <w:highlight w:val="none"/>
                      <w14:textFill>
                        <w14:solidFill>
                          <w14:schemeClr w14:val="tx1"/>
                        </w14:solidFill>
                      </w14:textFill>
                    </w:rPr>
                    <w:t>类标准</w:t>
                  </w:r>
                </w:p>
              </w:tc>
            </w:tr>
          </w:tbl>
          <w:p w14:paraId="7AE7D985">
            <w:pPr>
              <w:pStyle w:val="2"/>
              <w:spacing w:before="0" w:after="0" w:line="480" w:lineRule="exact"/>
              <w:ind w:firstLine="422"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4、固体废弃物环境影响分析</w:t>
            </w:r>
          </w:p>
          <w:p w14:paraId="0C637CD1">
            <w:pPr>
              <w:pStyle w:val="17"/>
              <w:spacing w:after="0" w:line="460" w:lineRule="exact"/>
              <w:ind w:left="0" w:leftChars="0" w:firstLine="420" w:firstLineChars="200"/>
              <w:jc w:val="left"/>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bookmarkStart w:id="7" w:name="_Toc262984618"/>
            <w:bookmarkStart w:id="8" w:name="_Toc263867001"/>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固废产生情况</w:t>
            </w:r>
          </w:p>
          <w:p w14:paraId="2296ED7C">
            <w:pPr>
              <w:pStyle w:val="17"/>
              <w:spacing w:after="0" w:line="460" w:lineRule="exact"/>
              <w:ind w:left="0" w:leftChars="0" w:firstLine="420" w:firstLineChars="200"/>
              <w:jc w:val="left"/>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本</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项目建成</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后</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全厂</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无新增固废产生，</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涉及的固废主要为</w:t>
            </w:r>
            <w:r>
              <w:rPr>
                <w:rFonts w:hint="eastAsia" w:cs="Times New Roman"/>
                <w:bCs/>
                <w:color w:val="000000" w:themeColor="text1"/>
                <w:sz w:val="21"/>
                <w:szCs w:val="21"/>
                <w:highlight w:val="none"/>
                <w:lang w:val="en-US" w:eastAsia="zh-CN"/>
                <w14:textFill>
                  <w14:solidFill>
                    <w14:schemeClr w14:val="tx1"/>
                  </w14:solidFill>
                </w14:textFill>
              </w:rPr>
              <w:t>依托现有净水站和化水站产生的</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污泥、</w:t>
            </w: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、废离子交换树脂</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。员工人数不变，生活垃圾产生量仍为现有项目产生量；</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净水站、化水站、厂区污水处理站的处理</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量不变、</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处理</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装置也不变，</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各固废</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年产生量仍和现有项目一致，固废实现零排放，不对外界环境造成影响。</w:t>
            </w:r>
          </w:p>
          <w:p w14:paraId="0208608D">
            <w:pPr>
              <w:pStyle w:val="17"/>
              <w:spacing w:after="0" w:line="460" w:lineRule="exact"/>
              <w:ind w:left="0" w:leftChars="0" w:firstLine="420" w:firstLineChars="200"/>
              <w:jc w:val="left"/>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本项目</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涉及的</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固体废物产生情况见表4</w:t>
            </w:r>
            <w:r>
              <w:rPr>
                <w:rFonts w:hint="eastAsia" w:cs="Times New Roman"/>
                <w:bCs/>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1</w:t>
            </w:r>
            <w:r>
              <w:rPr>
                <w:rFonts w:hint="eastAsia" w:cs="Times New Roman"/>
                <w:bCs/>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，根据《国家危险废物名录（202</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年版）》、《危险废物鉴别标准 通则》（GB5085.7-2019）、《一般固体废物分类与代码》（GB/T39198-2020）以及《危险废物鉴别技术规范》（HJ298-2019）进行判定。</w:t>
            </w:r>
          </w:p>
          <w:p w14:paraId="4654301E">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表</w:t>
            </w:r>
            <w:r>
              <w:rPr>
                <w:rFonts w:hint="default" w:ascii="Times New Roman" w:hAnsi="Times New Roman" w:eastAsia="宋体" w:cs="Times New Roman"/>
                <w:color w:val="000000" w:themeColor="text1"/>
                <w:szCs w:val="21"/>
                <w:highlight w:val="none"/>
                <w14:textFill>
                  <w14:solidFill>
                    <w14:schemeClr w14:val="tx1"/>
                  </w14:solidFill>
                </w14:textFill>
              </w:rPr>
              <w:t>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本项目</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涉及的</w:t>
            </w:r>
            <w:r>
              <w:rPr>
                <w:rFonts w:hint="default" w:ascii="Times New Roman" w:hAnsi="Times New Roman" w:eastAsia="宋体" w:cs="Times New Roman"/>
                <w:color w:val="000000" w:themeColor="text1"/>
                <w:szCs w:val="21"/>
                <w:highlight w:val="none"/>
                <w14:textFill>
                  <w14:solidFill>
                    <w14:schemeClr w14:val="tx1"/>
                  </w14:solidFill>
                </w14:textFill>
              </w:rPr>
              <w:t>固废产生情况</w:t>
            </w:r>
          </w:p>
          <w:tbl>
            <w:tblPr>
              <w:tblStyle w:val="36"/>
              <w:tblW w:w="4994"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515"/>
              <w:gridCol w:w="768"/>
              <w:gridCol w:w="573"/>
              <w:gridCol w:w="721"/>
              <w:gridCol w:w="515"/>
              <w:gridCol w:w="901"/>
              <w:gridCol w:w="1018"/>
              <w:gridCol w:w="634"/>
              <w:gridCol w:w="722"/>
              <w:gridCol w:w="1090"/>
              <w:gridCol w:w="829"/>
            </w:tblGrid>
            <w:tr w14:paraId="275079A1">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PrEx>
              <w:trPr>
                <w:trHeight w:val="510" w:hRule="atLeast"/>
                <w:jc w:val="center"/>
              </w:trPr>
              <w:tc>
                <w:tcPr>
                  <w:tcW w:w="517" w:type="dxa"/>
                  <w:tcBorders>
                    <w:tl2br w:val="nil"/>
                    <w:tr2bl w:val="nil"/>
                  </w:tcBorders>
                  <w:vAlign w:val="center"/>
                </w:tcPr>
                <w:p w14:paraId="5C2BBE47">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序号</w:t>
                  </w:r>
                </w:p>
              </w:tc>
              <w:tc>
                <w:tcPr>
                  <w:tcW w:w="771" w:type="dxa"/>
                  <w:tcBorders>
                    <w:tl2br w:val="nil"/>
                    <w:tr2bl w:val="nil"/>
                  </w:tcBorders>
                  <w:vAlign w:val="center"/>
                </w:tcPr>
                <w:p w14:paraId="152F9A0A">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固废名称</w:t>
                  </w:r>
                </w:p>
              </w:tc>
              <w:tc>
                <w:tcPr>
                  <w:tcW w:w="575" w:type="dxa"/>
                  <w:tcBorders>
                    <w:tl2br w:val="nil"/>
                    <w:tr2bl w:val="nil"/>
                  </w:tcBorders>
                  <w:vAlign w:val="center"/>
                </w:tcPr>
                <w:p w14:paraId="5E3528DA">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属性</w:t>
                  </w:r>
                </w:p>
              </w:tc>
              <w:tc>
                <w:tcPr>
                  <w:tcW w:w="724" w:type="dxa"/>
                  <w:tcBorders>
                    <w:tl2br w:val="nil"/>
                    <w:tr2bl w:val="nil"/>
                  </w:tcBorders>
                  <w:vAlign w:val="center"/>
                </w:tcPr>
                <w:p w14:paraId="386D2E61">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产生工序</w:t>
                  </w:r>
                </w:p>
              </w:tc>
              <w:tc>
                <w:tcPr>
                  <w:tcW w:w="517" w:type="dxa"/>
                  <w:tcBorders>
                    <w:tl2br w:val="nil"/>
                    <w:tr2bl w:val="nil"/>
                  </w:tcBorders>
                  <w:vAlign w:val="center"/>
                </w:tcPr>
                <w:p w14:paraId="4F990A64">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形态</w:t>
                  </w:r>
                </w:p>
              </w:tc>
              <w:tc>
                <w:tcPr>
                  <w:tcW w:w="904" w:type="dxa"/>
                  <w:tcBorders>
                    <w:tl2br w:val="nil"/>
                    <w:tr2bl w:val="nil"/>
                  </w:tcBorders>
                  <w:vAlign w:val="center"/>
                </w:tcPr>
                <w:p w14:paraId="3D307F49">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主要</w:t>
                  </w:r>
                </w:p>
                <w:p w14:paraId="088FEF03">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成分</w:t>
                  </w:r>
                </w:p>
              </w:tc>
              <w:tc>
                <w:tcPr>
                  <w:tcW w:w="1022" w:type="dxa"/>
                  <w:tcBorders>
                    <w:tl2br w:val="nil"/>
                    <w:tr2bl w:val="nil"/>
                  </w:tcBorders>
                  <w:vAlign w:val="center"/>
                </w:tcPr>
                <w:p w14:paraId="14D0F140">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危险特性鉴别方法</w:t>
                  </w:r>
                </w:p>
              </w:tc>
              <w:tc>
                <w:tcPr>
                  <w:tcW w:w="636" w:type="dxa"/>
                  <w:tcBorders>
                    <w:tl2br w:val="nil"/>
                    <w:tr2bl w:val="nil"/>
                  </w:tcBorders>
                  <w:vAlign w:val="center"/>
                </w:tcPr>
                <w:p w14:paraId="2EC3EFB4">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危险特性</w:t>
                  </w:r>
                </w:p>
              </w:tc>
              <w:tc>
                <w:tcPr>
                  <w:tcW w:w="725" w:type="dxa"/>
                  <w:tcBorders>
                    <w:tl2br w:val="nil"/>
                    <w:tr2bl w:val="nil"/>
                  </w:tcBorders>
                  <w:vAlign w:val="center"/>
                </w:tcPr>
                <w:p w14:paraId="2DCFA2DC">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废物类别</w:t>
                  </w:r>
                </w:p>
              </w:tc>
              <w:tc>
                <w:tcPr>
                  <w:tcW w:w="1094" w:type="dxa"/>
                  <w:tcBorders>
                    <w:tl2br w:val="nil"/>
                    <w:tr2bl w:val="nil"/>
                  </w:tcBorders>
                  <w:vAlign w:val="center"/>
                </w:tcPr>
                <w:p w14:paraId="11A79CEE">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废物代码</w:t>
                  </w:r>
                </w:p>
              </w:tc>
              <w:tc>
                <w:tcPr>
                  <w:tcW w:w="832" w:type="dxa"/>
                  <w:tcBorders>
                    <w:tl2br w:val="nil"/>
                    <w:tr2bl w:val="nil"/>
                  </w:tcBorders>
                  <w:vAlign w:val="center"/>
                </w:tcPr>
                <w:p w14:paraId="663C031E">
                  <w:pPr>
                    <w:pStyle w:val="27"/>
                    <w:spacing w:line="240" w:lineRule="exact"/>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估算产生量</w:t>
                  </w:r>
                </w:p>
                <w:p w14:paraId="33939442">
                  <w:pPr>
                    <w:pStyle w:val="27"/>
                    <w:spacing w:line="240" w:lineRule="exact"/>
                    <w:rPr>
                      <w:rFonts w:ascii="Times New Roman"/>
                      <w:b/>
                      <w:bCs/>
                      <w:color w:val="000000" w:themeColor="text1"/>
                      <w:sz w:val="18"/>
                      <w:szCs w:val="18"/>
                      <w:highlight w:val="none"/>
                      <w14:textFill>
                        <w14:solidFill>
                          <w14:schemeClr w14:val="tx1"/>
                        </w14:solidFill>
                      </w14:textFill>
                    </w:rPr>
                  </w:pPr>
                </w:p>
              </w:tc>
            </w:tr>
            <w:tr w14:paraId="06B15FAB">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517" w:type="dxa"/>
                  <w:tcBorders>
                    <w:tl2br w:val="nil"/>
                    <w:tr2bl w:val="nil"/>
                  </w:tcBorders>
                  <w:vAlign w:val="center"/>
                </w:tcPr>
                <w:p w14:paraId="5556E643">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w:t>
                  </w:r>
                </w:p>
              </w:tc>
              <w:tc>
                <w:tcPr>
                  <w:tcW w:w="771" w:type="dxa"/>
                  <w:tcBorders>
                    <w:tl2br w:val="nil"/>
                    <w:tr2bl w:val="nil"/>
                  </w:tcBorders>
                  <w:vAlign w:val="center"/>
                </w:tcPr>
                <w:p w14:paraId="01CC6AD7">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污泥</w:t>
                  </w:r>
                </w:p>
              </w:tc>
              <w:tc>
                <w:tcPr>
                  <w:tcW w:w="575" w:type="dxa"/>
                  <w:vMerge w:val="restart"/>
                  <w:tcBorders>
                    <w:tl2br w:val="nil"/>
                    <w:tr2bl w:val="nil"/>
                  </w:tcBorders>
                  <w:vAlign w:val="center"/>
                </w:tcPr>
                <w:p w14:paraId="56498F41">
                  <w:pPr>
                    <w:adjustRightInd w:val="0"/>
                    <w:snapToGrid w:val="0"/>
                    <w:spacing w:line="24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一般固废</w:t>
                  </w:r>
                </w:p>
              </w:tc>
              <w:tc>
                <w:tcPr>
                  <w:tcW w:w="724" w:type="dxa"/>
                  <w:tcBorders>
                    <w:tl2br w:val="nil"/>
                    <w:tr2bl w:val="nil"/>
                  </w:tcBorders>
                  <w:vAlign w:val="center"/>
                </w:tcPr>
                <w:p w14:paraId="0F039FB6">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净水站、</w:t>
                  </w:r>
                  <w:r>
                    <w:rPr>
                      <w:rFonts w:hint="default" w:ascii="Times New Roman" w:hAnsi="Times New Roman" w:eastAsia="宋体" w:cs="Times New Roman"/>
                      <w:color w:val="000000" w:themeColor="text1"/>
                      <w:sz w:val="18"/>
                      <w:szCs w:val="18"/>
                      <w:highlight w:val="none"/>
                      <w14:textFill>
                        <w14:solidFill>
                          <w14:schemeClr w14:val="tx1"/>
                        </w14:solidFill>
                      </w14:textFill>
                    </w:rPr>
                    <w:t>污水处理站</w:t>
                  </w:r>
                </w:p>
              </w:tc>
              <w:tc>
                <w:tcPr>
                  <w:tcW w:w="517" w:type="dxa"/>
                  <w:tcBorders>
                    <w:tl2br w:val="nil"/>
                    <w:tr2bl w:val="nil"/>
                  </w:tcBorders>
                  <w:vAlign w:val="center"/>
                </w:tcPr>
                <w:p w14:paraId="1912C9A2">
                  <w:pPr>
                    <w:adjustRightInd w:val="0"/>
                    <w:snapToGrid w:val="0"/>
                    <w:spacing w:line="24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固态</w:t>
                  </w:r>
                </w:p>
              </w:tc>
              <w:tc>
                <w:tcPr>
                  <w:tcW w:w="904" w:type="dxa"/>
                  <w:tcBorders>
                    <w:tl2br w:val="nil"/>
                    <w:tr2bl w:val="nil"/>
                  </w:tcBorders>
                  <w:vAlign w:val="center"/>
                </w:tcPr>
                <w:p w14:paraId="00CE0E64">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污泥</w:t>
                  </w:r>
                </w:p>
              </w:tc>
              <w:tc>
                <w:tcPr>
                  <w:tcW w:w="1022" w:type="dxa"/>
                  <w:vMerge w:val="restart"/>
                  <w:tcBorders>
                    <w:tl2br w:val="nil"/>
                    <w:tr2bl w:val="nil"/>
                  </w:tcBorders>
                  <w:vAlign w:val="center"/>
                </w:tcPr>
                <w:p w14:paraId="7C0AD131">
                  <w:pPr>
                    <w:pStyle w:val="27"/>
                    <w:spacing w:line="240" w:lineRule="exact"/>
                    <w:rPr>
                      <w:rFonts w:ascii="Times New Roman"/>
                      <w:color w:val="000000" w:themeColor="text1"/>
                      <w:sz w:val="18"/>
                      <w:szCs w:val="18"/>
                      <w:highlight w:val="none"/>
                      <w14:textFill>
                        <w14:solidFill>
                          <w14:schemeClr w14:val="tx1"/>
                        </w14:solidFill>
                      </w14:textFill>
                    </w:rPr>
                  </w:pPr>
                  <w:r>
                    <w:rPr>
                      <w:rFonts w:ascii="Times New Roman"/>
                      <w:color w:val="000000" w:themeColor="text1"/>
                      <w:kern w:val="0"/>
                      <w:sz w:val="18"/>
                      <w:szCs w:val="18"/>
                      <w:highlight w:val="none"/>
                      <w14:textFill>
                        <w14:solidFill>
                          <w14:schemeClr w14:val="tx1"/>
                        </w14:solidFill>
                      </w14:textFill>
                    </w:rPr>
                    <w:t>均为根据《国家危险废物名录》（2025年版）进行鉴别，不需要进一步开展危险废物特性鉴别</w:t>
                  </w:r>
                </w:p>
                <w:p w14:paraId="46082DDA">
                  <w:pPr>
                    <w:pStyle w:val="27"/>
                    <w:spacing w:line="240" w:lineRule="exact"/>
                    <w:rPr>
                      <w:rFonts w:ascii="Times New Roman"/>
                      <w:color w:val="000000" w:themeColor="text1"/>
                      <w:sz w:val="18"/>
                      <w:szCs w:val="18"/>
                      <w:highlight w:val="none"/>
                      <w14:textFill>
                        <w14:solidFill>
                          <w14:schemeClr w14:val="tx1"/>
                        </w14:solidFill>
                      </w14:textFill>
                    </w:rPr>
                  </w:pPr>
                </w:p>
              </w:tc>
              <w:tc>
                <w:tcPr>
                  <w:tcW w:w="636" w:type="dxa"/>
                  <w:tcBorders>
                    <w:tl2br w:val="nil"/>
                    <w:tr2bl w:val="nil"/>
                  </w:tcBorders>
                  <w:vAlign w:val="center"/>
                </w:tcPr>
                <w:p w14:paraId="42D3DC89">
                  <w:pPr>
                    <w:pStyle w:val="27"/>
                    <w:spacing w:line="240" w:lineRule="exact"/>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w:t>
                  </w:r>
                </w:p>
              </w:tc>
              <w:tc>
                <w:tcPr>
                  <w:tcW w:w="725" w:type="dxa"/>
                  <w:tcBorders>
                    <w:tl2br w:val="nil"/>
                    <w:tr2bl w:val="nil"/>
                  </w:tcBorders>
                  <w:vAlign w:val="center"/>
                </w:tcPr>
                <w:p w14:paraId="54C05387">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SW59</w:t>
                  </w:r>
                </w:p>
              </w:tc>
              <w:tc>
                <w:tcPr>
                  <w:tcW w:w="1094" w:type="dxa"/>
                  <w:tcBorders>
                    <w:tl2br w:val="nil"/>
                    <w:tr2bl w:val="nil"/>
                  </w:tcBorders>
                  <w:vAlign w:val="center"/>
                </w:tcPr>
                <w:p w14:paraId="71514120">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441</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001-</w:t>
                  </w:r>
                  <w:r>
                    <w:rPr>
                      <w:color w:val="000000" w:themeColor="text1"/>
                      <w:sz w:val="18"/>
                      <w:szCs w:val="18"/>
                      <w:highlight w:val="none"/>
                      <w14:textFill>
                        <w14:solidFill>
                          <w14:schemeClr w14:val="tx1"/>
                        </w14:solidFill>
                      </w14:textFill>
                    </w:rPr>
                    <w:t>59</w:t>
                  </w:r>
                </w:p>
              </w:tc>
              <w:tc>
                <w:tcPr>
                  <w:tcW w:w="832" w:type="dxa"/>
                  <w:tcBorders>
                    <w:tl2br w:val="nil"/>
                    <w:tr2bl w:val="nil"/>
                  </w:tcBorders>
                  <w:vAlign w:val="center"/>
                </w:tcPr>
                <w:p w14:paraId="553C55B8">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1500t/a</w:t>
                  </w:r>
                </w:p>
              </w:tc>
            </w:tr>
            <w:tr w14:paraId="0290535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17" w:type="dxa"/>
                  <w:tcBorders>
                    <w:tl2br w:val="nil"/>
                    <w:tr2bl w:val="nil"/>
                  </w:tcBorders>
                  <w:vAlign w:val="center"/>
                </w:tcPr>
                <w:p w14:paraId="5DAFE535">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w:t>
                  </w:r>
                </w:p>
              </w:tc>
              <w:tc>
                <w:tcPr>
                  <w:tcW w:w="771" w:type="dxa"/>
                  <w:tcBorders>
                    <w:tl2br w:val="nil"/>
                    <w:tr2bl w:val="nil"/>
                  </w:tcBorders>
                  <w:vAlign w:val="center"/>
                </w:tcPr>
                <w:p w14:paraId="3FF90409">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废超滤膜</w:t>
                  </w:r>
                </w:p>
              </w:tc>
              <w:tc>
                <w:tcPr>
                  <w:tcW w:w="575" w:type="dxa"/>
                  <w:vMerge w:val="continue"/>
                  <w:tcBorders>
                    <w:tl2br w:val="nil"/>
                    <w:tr2bl w:val="nil"/>
                  </w:tcBorders>
                  <w:vAlign w:val="center"/>
                </w:tcPr>
                <w:p w14:paraId="4F1CA8AE">
                  <w:pPr>
                    <w:adjustRightInd w:val="0"/>
                    <w:snapToGrid w:val="0"/>
                    <w:spacing w:line="240" w:lineRule="exact"/>
                    <w:jc w:val="center"/>
                    <w:rPr>
                      <w:color w:val="000000" w:themeColor="text1"/>
                      <w:sz w:val="18"/>
                      <w:szCs w:val="18"/>
                      <w:highlight w:val="none"/>
                      <w14:textFill>
                        <w14:solidFill>
                          <w14:schemeClr w14:val="tx1"/>
                        </w14:solidFill>
                      </w14:textFill>
                    </w:rPr>
                  </w:pPr>
                </w:p>
              </w:tc>
              <w:tc>
                <w:tcPr>
                  <w:tcW w:w="724" w:type="dxa"/>
                  <w:tcBorders>
                    <w:tl2br w:val="nil"/>
                    <w:tr2bl w:val="nil"/>
                  </w:tcBorders>
                  <w:vAlign w:val="center"/>
                </w:tcPr>
                <w:p w14:paraId="19800C21">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化水站</w:t>
                  </w:r>
                </w:p>
              </w:tc>
              <w:tc>
                <w:tcPr>
                  <w:tcW w:w="517" w:type="dxa"/>
                  <w:tcBorders>
                    <w:tl2br w:val="nil"/>
                    <w:tr2bl w:val="nil"/>
                  </w:tcBorders>
                  <w:vAlign w:val="center"/>
                </w:tcPr>
                <w:p w14:paraId="605E1D8F">
                  <w:pPr>
                    <w:adjustRightInd w:val="0"/>
                    <w:snapToGrid w:val="0"/>
                    <w:spacing w:line="24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固态</w:t>
                  </w:r>
                </w:p>
              </w:tc>
              <w:tc>
                <w:tcPr>
                  <w:tcW w:w="904" w:type="dxa"/>
                  <w:tcBorders>
                    <w:tl2br w:val="nil"/>
                    <w:tr2bl w:val="nil"/>
                  </w:tcBorders>
                  <w:vAlign w:val="center"/>
                </w:tcPr>
                <w:p w14:paraId="15A0F368">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滤</w:t>
                  </w:r>
                  <w:r>
                    <w:rPr>
                      <w:rFonts w:hint="eastAsia" w:cs="Times New Roman"/>
                      <w:color w:val="000000" w:themeColor="text1"/>
                      <w:sz w:val="18"/>
                      <w:szCs w:val="18"/>
                      <w:highlight w:val="none"/>
                      <w:lang w:val="en-US" w:eastAsia="zh-CN"/>
                      <w14:textFill>
                        <w14:solidFill>
                          <w14:schemeClr w14:val="tx1"/>
                        </w14:solidFill>
                      </w14:textFill>
                    </w:rPr>
                    <w:t>膜</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、杂质</w:t>
                  </w:r>
                </w:p>
              </w:tc>
              <w:tc>
                <w:tcPr>
                  <w:tcW w:w="1022" w:type="dxa"/>
                  <w:vMerge w:val="continue"/>
                  <w:tcBorders>
                    <w:tl2br w:val="nil"/>
                    <w:tr2bl w:val="nil"/>
                  </w:tcBorders>
                  <w:vAlign w:val="center"/>
                </w:tcPr>
                <w:p w14:paraId="5AA6AB4E">
                  <w:pPr>
                    <w:pStyle w:val="27"/>
                    <w:spacing w:line="240" w:lineRule="exact"/>
                    <w:rPr>
                      <w:rFonts w:ascii="Times New Roman"/>
                      <w:color w:val="000000" w:themeColor="text1"/>
                      <w:sz w:val="18"/>
                      <w:szCs w:val="18"/>
                      <w:highlight w:val="none"/>
                      <w14:textFill>
                        <w14:solidFill>
                          <w14:schemeClr w14:val="tx1"/>
                        </w14:solidFill>
                      </w14:textFill>
                    </w:rPr>
                  </w:pPr>
                </w:p>
              </w:tc>
              <w:tc>
                <w:tcPr>
                  <w:tcW w:w="636" w:type="dxa"/>
                  <w:tcBorders>
                    <w:tl2br w:val="nil"/>
                    <w:tr2bl w:val="nil"/>
                  </w:tcBorders>
                  <w:vAlign w:val="center"/>
                </w:tcPr>
                <w:p w14:paraId="4706B6F6">
                  <w:pPr>
                    <w:adjustRightInd w:val="0"/>
                    <w:snapToGrid w:val="0"/>
                    <w:jc w:val="center"/>
                    <w:rPr>
                      <w:rFonts w:hint="eastAsia" w:eastAsia="宋体"/>
                      <w:color w:val="000000" w:themeColor="text1"/>
                      <w:sz w:val="18"/>
                      <w:szCs w:val="18"/>
                      <w:highlight w:val="none"/>
                      <w:lang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w:t>
                  </w:r>
                </w:p>
              </w:tc>
              <w:tc>
                <w:tcPr>
                  <w:tcW w:w="725" w:type="dxa"/>
                  <w:tcBorders>
                    <w:tl2br w:val="nil"/>
                    <w:tr2bl w:val="nil"/>
                  </w:tcBorders>
                  <w:vAlign w:val="center"/>
                </w:tcPr>
                <w:p w14:paraId="67A5DD39">
                  <w:pPr>
                    <w:jc w:val="center"/>
                    <w:rPr>
                      <w:rFonts w:hAnsi="Times New Roman"/>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SW</w:t>
                  </w:r>
                  <w:r>
                    <w:rPr>
                      <w:rFonts w:hint="eastAsia"/>
                      <w:color w:val="000000" w:themeColor="text1"/>
                      <w:sz w:val="18"/>
                      <w:szCs w:val="18"/>
                      <w:highlight w:val="none"/>
                      <w:lang w:val="en-US" w:eastAsia="zh-CN"/>
                      <w14:textFill>
                        <w14:solidFill>
                          <w14:schemeClr w14:val="tx1"/>
                        </w14:solidFill>
                      </w14:textFill>
                    </w:rPr>
                    <w:t>99</w:t>
                  </w:r>
                </w:p>
              </w:tc>
              <w:tc>
                <w:tcPr>
                  <w:tcW w:w="1094" w:type="dxa"/>
                  <w:tcBorders>
                    <w:tl2br w:val="nil"/>
                    <w:tr2bl w:val="nil"/>
                  </w:tcBorders>
                  <w:vAlign w:val="center"/>
                </w:tcPr>
                <w:p w14:paraId="6124B616">
                  <w:pPr>
                    <w:jc w:val="center"/>
                    <w:rPr>
                      <w:rFonts w:ascii="Times New Roman"/>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999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99</w:t>
                  </w:r>
                </w:p>
              </w:tc>
              <w:tc>
                <w:tcPr>
                  <w:tcW w:w="832" w:type="dxa"/>
                  <w:tcBorders>
                    <w:tl2br w:val="nil"/>
                    <w:tr2bl w:val="nil"/>
                  </w:tcBorders>
                  <w:vAlign w:val="center"/>
                </w:tcPr>
                <w:p w14:paraId="586A56C9">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1t/10年</w:t>
                  </w:r>
                </w:p>
              </w:tc>
            </w:tr>
            <w:tr w14:paraId="7D587786">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17" w:type="dxa"/>
                  <w:tcBorders>
                    <w:tl2br w:val="nil"/>
                    <w:tr2bl w:val="nil"/>
                  </w:tcBorders>
                  <w:vAlign w:val="center"/>
                </w:tcPr>
                <w:p w14:paraId="75D9B672">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w:t>
                  </w:r>
                </w:p>
              </w:tc>
              <w:tc>
                <w:tcPr>
                  <w:tcW w:w="771" w:type="dxa"/>
                  <w:tcBorders>
                    <w:tl2br w:val="nil"/>
                    <w:tr2bl w:val="nil"/>
                  </w:tcBorders>
                  <w:vAlign w:val="center"/>
                </w:tcPr>
                <w:p w14:paraId="3C393A10">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废反渗透</w:t>
                  </w:r>
                </w:p>
              </w:tc>
              <w:tc>
                <w:tcPr>
                  <w:tcW w:w="575" w:type="dxa"/>
                  <w:vMerge w:val="continue"/>
                  <w:tcBorders>
                    <w:tl2br w:val="nil"/>
                    <w:tr2bl w:val="nil"/>
                  </w:tcBorders>
                  <w:vAlign w:val="center"/>
                </w:tcPr>
                <w:p w14:paraId="7A7551F3">
                  <w:pPr>
                    <w:jc w:val="center"/>
                    <w:rPr>
                      <w:color w:val="000000" w:themeColor="text1"/>
                      <w:sz w:val="18"/>
                      <w:szCs w:val="18"/>
                      <w:highlight w:val="none"/>
                      <w14:textFill>
                        <w14:solidFill>
                          <w14:schemeClr w14:val="tx1"/>
                        </w14:solidFill>
                      </w14:textFill>
                    </w:rPr>
                  </w:pPr>
                </w:p>
              </w:tc>
              <w:tc>
                <w:tcPr>
                  <w:tcW w:w="724" w:type="dxa"/>
                  <w:tcBorders>
                    <w:tl2br w:val="nil"/>
                    <w:tr2bl w:val="nil"/>
                  </w:tcBorders>
                  <w:vAlign w:val="center"/>
                </w:tcPr>
                <w:p w14:paraId="01D5C4D4">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化水站</w:t>
                  </w:r>
                </w:p>
              </w:tc>
              <w:tc>
                <w:tcPr>
                  <w:tcW w:w="517" w:type="dxa"/>
                  <w:tcBorders>
                    <w:tl2br w:val="nil"/>
                    <w:tr2bl w:val="nil"/>
                  </w:tcBorders>
                  <w:vAlign w:val="center"/>
                </w:tcPr>
                <w:p w14:paraId="00EC9BB6">
                  <w:pPr>
                    <w:adjustRightInd w:val="0"/>
                    <w:snapToGrid w:val="0"/>
                    <w:spacing w:line="24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固态</w:t>
                  </w:r>
                </w:p>
              </w:tc>
              <w:tc>
                <w:tcPr>
                  <w:tcW w:w="904" w:type="dxa"/>
                  <w:tcBorders>
                    <w:tl2br w:val="nil"/>
                    <w:tr2bl w:val="nil"/>
                  </w:tcBorders>
                  <w:vAlign w:val="center"/>
                </w:tcPr>
                <w:p w14:paraId="101E4C6B">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滤膜、杂质</w:t>
                  </w:r>
                </w:p>
              </w:tc>
              <w:tc>
                <w:tcPr>
                  <w:tcW w:w="1022" w:type="dxa"/>
                  <w:vMerge w:val="continue"/>
                  <w:tcBorders>
                    <w:tl2br w:val="nil"/>
                    <w:tr2bl w:val="nil"/>
                  </w:tcBorders>
                  <w:vAlign w:val="center"/>
                </w:tcPr>
                <w:p w14:paraId="7566714A">
                  <w:pPr>
                    <w:pStyle w:val="27"/>
                    <w:spacing w:line="240" w:lineRule="exact"/>
                    <w:rPr>
                      <w:rFonts w:ascii="Times New Roman"/>
                      <w:color w:val="000000" w:themeColor="text1"/>
                      <w:sz w:val="18"/>
                      <w:szCs w:val="18"/>
                      <w:highlight w:val="none"/>
                      <w14:textFill>
                        <w14:solidFill>
                          <w14:schemeClr w14:val="tx1"/>
                        </w14:solidFill>
                      </w14:textFill>
                    </w:rPr>
                  </w:pPr>
                </w:p>
              </w:tc>
              <w:tc>
                <w:tcPr>
                  <w:tcW w:w="636" w:type="dxa"/>
                  <w:tcBorders>
                    <w:tl2br w:val="nil"/>
                    <w:tr2bl w:val="nil"/>
                  </w:tcBorders>
                  <w:vAlign w:val="center"/>
                </w:tcPr>
                <w:p w14:paraId="76151B72">
                  <w:pPr>
                    <w:pStyle w:val="27"/>
                    <w:spacing w:line="240" w:lineRule="exact"/>
                    <w:rPr>
                      <w:rFonts w:ascii="Times New Roman"/>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w:t>
                  </w:r>
                </w:p>
              </w:tc>
              <w:tc>
                <w:tcPr>
                  <w:tcW w:w="725" w:type="dxa"/>
                  <w:tcBorders>
                    <w:tl2br w:val="nil"/>
                    <w:tr2bl w:val="nil"/>
                  </w:tcBorders>
                  <w:vAlign w:val="center"/>
                </w:tcPr>
                <w:p w14:paraId="22CAE8AA">
                  <w:pPr>
                    <w:jc w:val="center"/>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SW</w:t>
                  </w:r>
                  <w:r>
                    <w:rPr>
                      <w:rFonts w:hint="eastAsia"/>
                      <w:color w:val="000000" w:themeColor="text1"/>
                      <w:sz w:val="18"/>
                      <w:szCs w:val="18"/>
                      <w:highlight w:val="none"/>
                      <w:lang w:val="en-US" w:eastAsia="zh-CN"/>
                      <w14:textFill>
                        <w14:solidFill>
                          <w14:schemeClr w14:val="tx1"/>
                        </w14:solidFill>
                      </w14:textFill>
                    </w:rPr>
                    <w:t>99</w:t>
                  </w:r>
                </w:p>
              </w:tc>
              <w:tc>
                <w:tcPr>
                  <w:tcW w:w="1094" w:type="dxa"/>
                  <w:tcBorders>
                    <w:tl2br w:val="nil"/>
                    <w:tr2bl w:val="nil"/>
                  </w:tcBorders>
                  <w:vAlign w:val="center"/>
                </w:tcPr>
                <w:p w14:paraId="5D4C8C29">
                  <w:pPr>
                    <w:jc w:val="center"/>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999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99</w:t>
                  </w:r>
                </w:p>
              </w:tc>
              <w:tc>
                <w:tcPr>
                  <w:tcW w:w="832" w:type="dxa"/>
                  <w:tcBorders>
                    <w:tl2br w:val="nil"/>
                    <w:tr2bl w:val="nil"/>
                  </w:tcBorders>
                  <w:vAlign w:val="center"/>
                </w:tcPr>
                <w:p w14:paraId="5CA9E8E5">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3t/5年</w:t>
                  </w:r>
                </w:p>
              </w:tc>
            </w:tr>
            <w:tr w14:paraId="4137E175">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17" w:type="dxa"/>
                  <w:tcBorders>
                    <w:tl2br w:val="nil"/>
                    <w:tr2bl w:val="nil"/>
                  </w:tcBorders>
                  <w:vAlign w:val="center"/>
                </w:tcPr>
                <w:p w14:paraId="2A9283E2">
                  <w:pPr>
                    <w:pStyle w:val="11"/>
                    <w:spacing w:line="240" w:lineRule="exact"/>
                    <w:ind w:firstLine="0" w:firstLineChars="0"/>
                    <w:jc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4</w:t>
                  </w:r>
                </w:p>
              </w:tc>
              <w:tc>
                <w:tcPr>
                  <w:tcW w:w="771" w:type="dxa"/>
                  <w:tcBorders>
                    <w:tl2br w:val="nil"/>
                    <w:tr2bl w:val="nil"/>
                  </w:tcBorders>
                  <w:vAlign w:val="center"/>
                </w:tcPr>
                <w:p w14:paraId="0D7B2840">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废离子交换树脂</w:t>
                  </w:r>
                </w:p>
              </w:tc>
              <w:tc>
                <w:tcPr>
                  <w:tcW w:w="575" w:type="dxa"/>
                  <w:tcBorders>
                    <w:tl2br w:val="nil"/>
                    <w:tr2bl w:val="nil"/>
                  </w:tcBorders>
                  <w:vAlign w:val="center"/>
                </w:tcPr>
                <w:p w14:paraId="4EBCC524">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危险固废</w:t>
                  </w:r>
                </w:p>
              </w:tc>
              <w:tc>
                <w:tcPr>
                  <w:tcW w:w="724" w:type="dxa"/>
                  <w:tcBorders>
                    <w:tl2br w:val="nil"/>
                    <w:tr2bl w:val="nil"/>
                  </w:tcBorders>
                  <w:vAlign w:val="center"/>
                </w:tcPr>
                <w:p w14:paraId="26307EBB">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化水站</w:t>
                  </w:r>
                </w:p>
              </w:tc>
              <w:tc>
                <w:tcPr>
                  <w:tcW w:w="517" w:type="dxa"/>
                  <w:tcBorders>
                    <w:tl2br w:val="nil"/>
                    <w:tr2bl w:val="nil"/>
                  </w:tcBorders>
                  <w:vAlign w:val="center"/>
                </w:tcPr>
                <w:p w14:paraId="7D33E19E">
                  <w:pPr>
                    <w:adjustRightInd w:val="0"/>
                    <w:snapToGrid w:val="0"/>
                    <w:spacing w:line="240" w:lineRule="exact"/>
                    <w:jc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固态</w:t>
                  </w:r>
                </w:p>
              </w:tc>
              <w:tc>
                <w:tcPr>
                  <w:tcW w:w="904" w:type="dxa"/>
                  <w:tcBorders>
                    <w:tl2br w:val="nil"/>
                    <w:tr2bl w:val="nil"/>
                  </w:tcBorders>
                  <w:vAlign w:val="center"/>
                </w:tcPr>
                <w:p w14:paraId="60E97F89">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树脂、杂质</w:t>
                  </w:r>
                </w:p>
              </w:tc>
              <w:tc>
                <w:tcPr>
                  <w:tcW w:w="1022" w:type="dxa"/>
                  <w:vMerge w:val="continue"/>
                  <w:tcBorders>
                    <w:tl2br w:val="nil"/>
                    <w:tr2bl w:val="nil"/>
                  </w:tcBorders>
                  <w:vAlign w:val="center"/>
                </w:tcPr>
                <w:p w14:paraId="3BE05155">
                  <w:pPr>
                    <w:pStyle w:val="27"/>
                    <w:spacing w:line="240" w:lineRule="exact"/>
                    <w:rPr>
                      <w:rFonts w:ascii="Times New Roman"/>
                      <w:color w:val="000000" w:themeColor="text1"/>
                      <w:sz w:val="18"/>
                      <w:szCs w:val="18"/>
                      <w:highlight w:val="none"/>
                      <w14:textFill>
                        <w14:solidFill>
                          <w14:schemeClr w14:val="tx1"/>
                        </w14:solidFill>
                      </w14:textFill>
                    </w:rPr>
                  </w:pPr>
                </w:p>
              </w:tc>
              <w:tc>
                <w:tcPr>
                  <w:tcW w:w="636" w:type="dxa"/>
                  <w:tcBorders>
                    <w:tl2br w:val="nil"/>
                    <w:tr2bl w:val="nil"/>
                  </w:tcBorders>
                  <w:vAlign w:val="center"/>
                </w:tcPr>
                <w:p w14:paraId="3BCD1791">
                  <w:pPr>
                    <w:pStyle w:val="27"/>
                    <w:spacing w:line="240" w:lineRule="exact"/>
                    <w:rPr>
                      <w:rFonts w:hint="eastAsia" w:ascii="Times New Roman"/>
                      <w:color w:val="000000" w:themeColor="text1"/>
                      <w:sz w:val="18"/>
                      <w:szCs w:val="18"/>
                      <w:highlight w:val="none"/>
                      <w:lang w:val="en-US" w:eastAsia="zh-CN"/>
                      <w14:textFill>
                        <w14:solidFill>
                          <w14:schemeClr w14:val="tx1"/>
                        </w14:solidFill>
                      </w14:textFill>
                    </w:rPr>
                  </w:pPr>
                  <w:r>
                    <w:rPr>
                      <w:rFonts w:hint="eastAsia" w:ascii="Times New Roman"/>
                      <w:color w:val="000000" w:themeColor="text1"/>
                      <w:sz w:val="18"/>
                      <w:szCs w:val="18"/>
                      <w:highlight w:val="none"/>
                      <w:lang w:val="en-US" w:eastAsia="zh-CN"/>
                      <w14:textFill>
                        <w14:solidFill>
                          <w14:schemeClr w14:val="tx1"/>
                        </w14:solidFill>
                      </w14:textFill>
                    </w:rPr>
                    <w:t>T</w:t>
                  </w:r>
                </w:p>
                <w:p w14:paraId="703547D5">
                  <w:pPr>
                    <w:pStyle w:val="27"/>
                    <w:spacing w:line="240" w:lineRule="exact"/>
                    <w:rPr>
                      <w:rFonts w:hint="eastAsia" w:ascii="Times New Roman"/>
                      <w:color w:val="000000" w:themeColor="text1"/>
                      <w:sz w:val="18"/>
                      <w:szCs w:val="18"/>
                      <w:highlight w:val="none"/>
                      <w:lang w:val="en-US" w:eastAsia="zh-CN"/>
                      <w14:textFill>
                        <w14:solidFill>
                          <w14:schemeClr w14:val="tx1"/>
                        </w14:solidFill>
                      </w14:textFill>
                    </w:rPr>
                  </w:pPr>
                </w:p>
              </w:tc>
              <w:tc>
                <w:tcPr>
                  <w:tcW w:w="725" w:type="dxa"/>
                  <w:tcBorders>
                    <w:tl2br w:val="nil"/>
                    <w:tr2bl w:val="nil"/>
                  </w:tcBorders>
                  <w:vAlign w:val="center"/>
                </w:tcPr>
                <w:p w14:paraId="676EE483">
                  <w:pPr>
                    <w:jc w:val="center"/>
                    <w:rPr>
                      <w:rFonts w:hint="default" w:eastAsia="宋体"/>
                      <w:color w:val="000000" w:themeColor="text1"/>
                      <w:sz w:val="18"/>
                      <w:szCs w:val="18"/>
                      <w:highlight w:val="none"/>
                      <w:lang w:val="en-US" w:eastAsia="zh-CN"/>
                      <w14:textFill>
                        <w14:solidFill>
                          <w14:schemeClr w14:val="tx1"/>
                        </w14:solidFill>
                      </w14:textFill>
                    </w:rPr>
                  </w:pPr>
                  <w:r>
                    <w:rPr>
                      <w:rFonts w:hAnsi="Times New Roman"/>
                      <w:color w:val="000000" w:themeColor="text1"/>
                      <w:sz w:val="18"/>
                      <w:szCs w:val="18"/>
                      <w:highlight w:val="none"/>
                      <w14:textFill>
                        <w14:solidFill>
                          <w14:schemeClr w14:val="tx1"/>
                        </w14:solidFill>
                      </w14:textFill>
                    </w:rPr>
                    <w:t>HW</w:t>
                  </w:r>
                  <w:r>
                    <w:rPr>
                      <w:rFonts w:hint="eastAsia"/>
                      <w:color w:val="000000" w:themeColor="text1"/>
                      <w:sz w:val="18"/>
                      <w:szCs w:val="18"/>
                      <w:highlight w:val="none"/>
                      <w:lang w:val="en-US" w:eastAsia="zh-CN"/>
                      <w14:textFill>
                        <w14:solidFill>
                          <w14:schemeClr w14:val="tx1"/>
                        </w14:solidFill>
                      </w14:textFill>
                    </w:rPr>
                    <w:t>13</w:t>
                  </w:r>
                </w:p>
              </w:tc>
              <w:tc>
                <w:tcPr>
                  <w:tcW w:w="1094" w:type="dxa"/>
                  <w:tcBorders>
                    <w:tl2br w:val="nil"/>
                    <w:tr2bl w:val="nil"/>
                  </w:tcBorders>
                  <w:vAlign w:val="center"/>
                </w:tcPr>
                <w:p w14:paraId="5138770E">
                  <w:pPr>
                    <w:jc w:val="center"/>
                    <w:rPr>
                      <w:rFonts w:hint="default" w:eastAsia="宋体"/>
                      <w:color w:val="000000" w:themeColor="text1"/>
                      <w:sz w:val="18"/>
                      <w:szCs w:val="18"/>
                      <w:highlight w:val="none"/>
                      <w:lang w:val="en-US" w:eastAsia="zh-CN"/>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015</w:t>
                  </w:r>
                  <w:r>
                    <w:rPr>
                      <w:rFonts w:ascii="Times New Roman"/>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13</w:t>
                  </w:r>
                </w:p>
              </w:tc>
              <w:tc>
                <w:tcPr>
                  <w:tcW w:w="832" w:type="dxa"/>
                  <w:tcBorders>
                    <w:tl2br w:val="nil"/>
                    <w:tr2bl w:val="nil"/>
                  </w:tcBorders>
                  <w:vAlign w:val="center"/>
                </w:tcPr>
                <w:p w14:paraId="013F614C">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10t/8a</w:t>
                  </w:r>
                </w:p>
              </w:tc>
            </w:tr>
          </w:tbl>
          <w:p w14:paraId="052DDE00">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2560B9E2">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0A9C5C42">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3080B596">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3DE21B29">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1BDCDF77">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 xml:space="preserve">5  </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本次项目涉及的</w:t>
            </w:r>
            <w:r>
              <w:rPr>
                <w:rFonts w:hint="default" w:ascii="Times New Roman" w:hAnsi="Times New Roman" w:eastAsia="宋体" w:cs="Times New Roman"/>
                <w:color w:val="000000" w:themeColor="text1"/>
                <w:szCs w:val="21"/>
                <w:highlight w:val="none"/>
                <w14:textFill>
                  <w14:solidFill>
                    <w14:schemeClr w14:val="tx1"/>
                  </w14:solidFill>
                </w14:textFill>
              </w:rPr>
              <w:t>危险废物汇总情况</w:t>
            </w:r>
          </w:p>
          <w:tbl>
            <w:tblPr>
              <w:tblStyle w:val="36"/>
              <w:tblW w:w="4996"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6" w:space="0"/>
              </w:tblBorders>
              <w:tblLayout w:type="fixed"/>
              <w:tblCellMar>
                <w:top w:w="0" w:type="dxa"/>
                <w:left w:w="108" w:type="dxa"/>
                <w:bottom w:w="0" w:type="dxa"/>
                <w:right w:w="108" w:type="dxa"/>
              </w:tblCellMar>
            </w:tblPr>
            <w:tblGrid>
              <w:gridCol w:w="456"/>
              <w:gridCol w:w="594"/>
              <w:gridCol w:w="714"/>
              <w:gridCol w:w="1082"/>
              <w:gridCol w:w="797"/>
              <w:gridCol w:w="747"/>
              <w:gridCol w:w="405"/>
              <w:gridCol w:w="769"/>
              <w:gridCol w:w="806"/>
              <w:gridCol w:w="604"/>
              <w:gridCol w:w="575"/>
              <w:gridCol w:w="739"/>
            </w:tblGrid>
            <w:tr w14:paraId="25C5742A">
              <w:tblPrEx>
                <w:tblBorders>
                  <w:top w:val="single" w:color="000000" w:sz="12" w:space="0"/>
                  <w:left w:val="single" w:color="000000" w:sz="12" w:space="0"/>
                  <w:bottom w:val="single" w:color="000000" w:sz="12" w:space="0"/>
                  <w:right w:val="single" w:color="000000" w:sz="12" w:space="0"/>
                  <w:insideH w:val="single" w:color="auto" w:sz="4" w:space="0"/>
                  <w:insideV w:val="single" w:color="auto" w:sz="6" w:space="0"/>
                </w:tblBorders>
                <w:tblCellMar>
                  <w:top w:w="0" w:type="dxa"/>
                  <w:left w:w="108" w:type="dxa"/>
                  <w:bottom w:w="0" w:type="dxa"/>
                  <w:right w:w="108" w:type="dxa"/>
                </w:tblCellMar>
              </w:tblPrEx>
              <w:trPr>
                <w:trHeight w:val="506" w:hRule="atLeast"/>
                <w:jc w:val="center"/>
              </w:trPr>
              <w:tc>
                <w:tcPr>
                  <w:tcW w:w="275" w:type="pct"/>
                  <w:tcBorders>
                    <w:tl2br w:val="nil"/>
                    <w:tr2bl w:val="nil"/>
                  </w:tcBorders>
                  <w:vAlign w:val="center"/>
                </w:tcPr>
                <w:p w14:paraId="03758A36">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序号</w:t>
                  </w:r>
                </w:p>
              </w:tc>
              <w:tc>
                <w:tcPr>
                  <w:tcW w:w="358" w:type="pct"/>
                  <w:tcBorders>
                    <w:tl2br w:val="nil"/>
                    <w:tr2bl w:val="nil"/>
                  </w:tcBorders>
                  <w:vAlign w:val="center"/>
                </w:tcPr>
                <w:p w14:paraId="4F43F303">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危废名称</w:t>
                  </w:r>
                </w:p>
              </w:tc>
              <w:tc>
                <w:tcPr>
                  <w:tcW w:w="430" w:type="pct"/>
                  <w:tcBorders>
                    <w:tl2br w:val="nil"/>
                    <w:tr2bl w:val="nil"/>
                  </w:tcBorders>
                  <w:vAlign w:val="center"/>
                </w:tcPr>
                <w:p w14:paraId="7CCE992C">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废物类别</w:t>
                  </w:r>
                </w:p>
              </w:tc>
              <w:tc>
                <w:tcPr>
                  <w:tcW w:w="652" w:type="pct"/>
                  <w:tcBorders>
                    <w:tl2br w:val="nil"/>
                    <w:tr2bl w:val="nil"/>
                  </w:tcBorders>
                  <w:vAlign w:val="center"/>
                </w:tcPr>
                <w:p w14:paraId="1CD71A15">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废物代码</w:t>
                  </w:r>
                </w:p>
              </w:tc>
              <w:tc>
                <w:tcPr>
                  <w:tcW w:w="480" w:type="pct"/>
                  <w:tcBorders>
                    <w:tl2br w:val="nil"/>
                    <w:tr2bl w:val="nil"/>
                  </w:tcBorders>
                  <w:vAlign w:val="center"/>
                </w:tcPr>
                <w:p w14:paraId="03105D17">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产生量</w:t>
                  </w:r>
                </w:p>
              </w:tc>
              <w:tc>
                <w:tcPr>
                  <w:tcW w:w="450" w:type="pct"/>
                  <w:tcBorders>
                    <w:tl2br w:val="nil"/>
                    <w:tr2bl w:val="nil"/>
                  </w:tcBorders>
                  <w:vAlign w:val="center"/>
                </w:tcPr>
                <w:p w14:paraId="25CFFD72">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产生工序及装置</w:t>
                  </w:r>
                </w:p>
              </w:tc>
              <w:tc>
                <w:tcPr>
                  <w:tcW w:w="244" w:type="pct"/>
                  <w:tcBorders>
                    <w:tl2br w:val="nil"/>
                    <w:tr2bl w:val="nil"/>
                  </w:tcBorders>
                  <w:vAlign w:val="center"/>
                </w:tcPr>
                <w:p w14:paraId="373AB9D6">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形态</w:t>
                  </w:r>
                </w:p>
              </w:tc>
              <w:tc>
                <w:tcPr>
                  <w:tcW w:w="463" w:type="pct"/>
                  <w:tcBorders>
                    <w:tl2br w:val="nil"/>
                    <w:tr2bl w:val="nil"/>
                  </w:tcBorders>
                  <w:vAlign w:val="center"/>
                </w:tcPr>
                <w:p w14:paraId="62F812CB">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主要成分</w:t>
                  </w:r>
                </w:p>
              </w:tc>
              <w:tc>
                <w:tcPr>
                  <w:tcW w:w="486" w:type="pct"/>
                  <w:tcBorders>
                    <w:tl2br w:val="nil"/>
                    <w:tr2bl w:val="nil"/>
                  </w:tcBorders>
                  <w:vAlign w:val="center"/>
                </w:tcPr>
                <w:p w14:paraId="61F5DD98">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有害成分</w:t>
                  </w:r>
                </w:p>
              </w:tc>
              <w:tc>
                <w:tcPr>
                  <w:tcW w:w="364" w:type="pct"/>
                  <w:tcBorders>
                    <w:tl2br w:val="nil"/>
                    <w:tr2bl w:val="nil"/>
                  </w:tcBorders>
                  <w:vAlign w:val="center"/>
                </w:tcPr>
                <w:p w14:paraId="304306FB">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产废周期</w:t>
                  </w:r>
                </w:p>
              </w:tc>
              <w:tc>
                <w:tcPr>
                  <w:tcW w:w="346" w:type="pct"/>
                  <w:tcBorders>
                    <w:tl2br w:val="nil"/>
                    <w:tr2bl w:val="nil"/>
                  </w:tcBorders>
                  <w:vAlign w:val="center"/>
                </w:tcPr>
                <w:p w14:paraId="166FA134">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危险特性</w:t>
                  </w:r>
                </w:p>
              </w:tc>
              <w:tc>
                <w:tcPr>
                  <w:tcW w:w="445" w:type="pct"/>
                  <w:tcBorders>
                    <w:tl2br w:val="nil"/>
                    <w:tr2bl w:val="nil"/>
                  </w:tcBorders>
                  <w:vAlign w:val="center"/>
                </w:tcPr>
                <w:p w14:paraId="53880F72">
                  <w:pPr>
                    <w:pStyle w:val="27"/>
                    <w:spacing w:line="240" w:lineRule="auto"/>
                    <w:rPr>
                      <w:rFonts w:ascii="Times New Roman"/>
                      <w:b/>
                      <w:bCs/>
                      <w:color w:val="000000" w:themeColor="text1"/>
                      <w:sz w:val="18"/>
                      <w:szCs w:val="18"/>
                      <w:highlight w:val="none"/>
                      <w14:textFill>
                        <w14:solidFill>
                          <w14:schemeClr w14:val="tx1"/>
                        </w14:solidFill>
                      </w14:textFill>
                    </w:rPr>
                  </w:pPr>
                  <w:r>
                    <w:rPr>
                      <w:rFonts w:ascii="Times New Roman"/>
                      <w:b/>
                      <w:bCs/>
                      <w:color w:val="000000" w:themeColor="text1"/>
                      <w:sz w:val="18"/>
                      <w:szCs w:val="18"/>
                      <w:highlight w:val="none"/>
                      <w14:textFill>
                        <w14:solidFill>
                          <w14:schemeClr w14:val="tx1"/>
                        </w14:solidFill>
                      </w14:textFill>
                    </w:rPr>
                    <w:t>污染防治措施</w:t>
                  </w:r>
                </w:p>
              </w:tc>
            </w:tr>
            <w:tr w14:paraId="08D064C0">
              <w:tblPrEx>
                <w:tblBorders>
                  <w:top w:val="single" w:color="000000" w:sz="12" w:space="0"/>
                  <w:left w:val="single" w:color="000000" w:sz="12" w:space="0"/>
                  <w:bottom w:val="single" w:color="000000" w:sz="12" w:space="0"/>
                  <w:right w:val="single" w:color="000000" w:sz="12" w:space="0"/>
                  <w:insideH w:val="single" w:color="auto" w:sz="4" w:space="0"/>
                  <w:insideV w:val="single" w:color="auto" w:sz="6" w:space="0"/>
                </w:tblBorders>
                <w:tblCellMar>
                  <w:top w:w="0" w:type="dxa"/>
                  <w:left w:w="108" w:type="dxa"/>
                  <w:bottom w:w="0" w:type="dxa"/>
                  <w:right w:w="108" w:type="dxa"/>
                </w:tblCellMar>
              </w:tblPrEx>
              <w:trPr>
                <w:trHeight w:val="236" w:hRule="atLeast"/>
                <w:jc w:val="center"/>
              </w:trPr>
              <w:tc>
                <w:tcPr>
                  <w:tcW w:w="275" w:type="pct"/>
                  <w:tcBorders>
                    <w:tl2br w:val="nil"/>
                    <w:tr2bl w:val="nil"/>
                  </w:tcBorders>
                  <w:vAlign w:val="center"/>
                </w:tcPr>
                <w:p w14:paraId="6AF6BED6">
                  <w:pPr>
                    <w:pStyle w:val="11"/>
                    <w:spacing w:line="240" w:lineRule="exact"/>
                    <w:ind w:firstLine="0" w:firstLineChars="0"/>
                    <w:jc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w:t>
                  </w:r>
                </w:p>
              </w:tc>
              <w:tc>
                <w:tcPr>
                  <w:tcW w:w="358" w:type="pct"/>
                  <w:tcBorders>
                    <w:tl2br w:val="nil"/>
                    <w:tr2bl w:val="nil"/>
                  </w:tcBorders>
                  <w:vAlign w:val="center"/>
                </w:tcPr>
                <w:p w14:paraId="1703F734">
                  <w:pPr>
                    <w:jc w:val="center"/>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废离子交换树脂</w:t>
                  </w:r>
                </w:p>
              </w:tc>
              <w:tc>
                <w:tcPr>
                  <w:tcW w:w="430" w:type="pct"/>
                  <w:tcBorders>
                    <w:tl2br w:val="nil"/>
                    <w:tr2bl w:val="nil"/>
                  </w:tcBorders>
                  <w:vAlign w:val="center"/>
                </w:tcPr>
                <w:p w14:paraId="0E2F4941">
                  <w:pPr>
                    <w:jc w:val="center"/>
                    <w:rPr>
                      <w:rFonts w:hint="default" w:eastAsia="宋体"/>
                      <w:color w:val="000000" w:themeColor="text1"/>
                      <w:sz w:val="18"/>
                      <w:szCs w:val="21"/>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HW</w:t>
                  </w:r>
                  <w:r>
                    <w:rPr>
                      <w:rFonts w:hint="eastAsia"/>
                      <w:color w:val="000000" w:themeColor="text1"/>
                      <w:sz w:val="18"/>
                      <w:szCs w:val="18"/>
                      <w:highlight w:val="none"/>
                      <w:lang w:val="en-US" w:eastAsia="zh-CN"/>
                      <w14:textFill>
                        <w14:solidFill>
                          <w14:schemeClr w14:val="tx1"/>
                        </w14:solidFill>
                      </w14:textFill>
                    </w:rPr>
                    <w:t>13</w:t>
                  </w:r>
                </w:p>
              </w:tc>
              <w:tc>
                <w:tcPr>
                  <w:tcW w:w="1086" w:type="dxa"/>
                  <w:tcBorders>
                    <w:tl2br w:val="nil"/>
                    <w:tr2bl w:val="nil"/>
                  </w:tcBorders>
                  <w:vAlign w:val="center"/>
                </w:tcPr>
                <w:p w14:paraId="471A0167">
                  <w:pPr>
                    <w:jc w:val="center"/>
                    <w:rPr>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015</w:t>
                  </w:r>
                  <w:r>
                    <w:rPr>
                      <w:rFonts w:ascii="Times New Roman"/>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13</w:t>
                  </w:r>
                </w:p>
              </w:tc>
              <w:tc>
                <w:tcPr>
                  <w:tcW w:w="800" w:type="dxa"/>
                  <w:tcBorders>
                    <w:tl2br w:val="nil"/>
                    <w:tr2bl w:val="nil"/>
                  </w:tcBorders>
                  <w:shd w:val="clear" w:color="auto" w:fill="auto"/>
                  <w:vAlign w:val="center"/>
                </w:tcPr>
                <w:p w14:paraId="4BB4AE80">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10t/8a</w:t>
                  </w:r>
                </w:p>
              </w:tc>
              <w:tc>
                <w:tcPr>
                  <w:tcW w:w="450" w:type="pct"/>
                  <w:tcBorders>
                    <w:tl2br w:val="nil"/>
                    <w:tr2bl w:val="nil"/>
                  </w:tcBorders>
                  <w:vAlign w:val="center"/>
                </w:tcPr>
                <w:p w14:paraId="6D97356C">
                  <w:pPr>
                    <w:jc w:val="center"/>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化水站</w:t>
                  </w:r>
                </w:p>
              </w:tc>
              <w:tc>
                <w:tcPr>
                  <w:tcW w:w="244" w:type="pct"/>
                  <w:tcBorders>
                    <w:tl2br w:val="nil"/>
                    <w:tr2bl w:val="nil"/>
                  </w:tcBorders>
                  <w:vAlign w:val="center"/>
                </w:tcPr>
                <w:p w14:paraId="5CE950AA">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固</w:t>
                  </w:r>
                  <w:r>
                    <w:rPr>
                      <w:color w:val="000000" w:themeColor="text1"/>
                      <w:sz w:val="18"/>
                      <w:szCs w:val="18"/>
                      <w:highlight w:val="none"/>
                      <w14:textFill>
                        <w14:solidFill>
                          <w14:schemeClr w14:val="tx1"/>
                        </w14:solidFill>
                      </w14:textFill>
                    </w:rPr>
                    <w:t>态</w:t>
                  </w:r>
                </w:p>
              </w:tc>
              <w:tc>
                <w:tcPr>
                  <w:tcW w:w="463" w:type="pct"/>
                  <w:tcBorders>
                    <w:tl2br w:val="nil"/>
                    <w:tr2bl w:val="nil"/>
                  </w:tcBorders>
                  <w:shd w:val="clear" w:color="auto" w:fill="auto"/>
                  <w:vAlign w:val="center"/>
                </w:tcPr>
                <w:p w14:paraId="7DC88144">
                  <w:pPr>
                    <w:spacing w:line="240" w:lineRule="atLeast"/>
                    <w:jc w:val="center"/>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树脂、杂质</w:t>
                  </w:r>
                </w:p>
              </w:tc>
              <w:tc>
                <w:tcPr>
                  <w:tcW w:w="486" w:type="pct"/>
                  <w:tcBorders>
                    <w:tl2br w:val="nil"/>
                    <w:tr2bl w:val="nil"/>
                  </w:tcBorders>
                  <w:shd w:val="clear" w:color="auto" w:fill="auto"/>
                  <w:vAlign w:val="center"/>
                </w:tcPr>
                <w:p w14:paraId="1014030B">
                  <w:pPr>
                    <w:spacing w:line="240" w:lineRule="atLeast"/>
                    <w:jc w:val="center"/>
                    <w:rPr>
                      <w:rFonts w:hint="eastAsia" w:eastAsia="宋体"/>
                      <w:color w:val="000000" w:themeColor="text1"/>
                      <w:sz w:val="18"/>
                      <w:szCs w:val="18"/>
                      <w:highlight w:val="none"/>
                      <w:lang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杂质</w:t>
                  </w:r>
                </w:p>
              </w:tc>
              <w:tc>
                <w:tcPr>
                  <w:tcW w:w="364" w:type="pct"/>
                  <w:tcBorders>
                    <w:tl2br w:val="nil"/>
                    <w:tr2bl w:val="nil"/>
                  </w:tcBorders>
                  <w:vAlign w:val="center"/>
                </w:tcPr>
                <w:p w14:paraId="6AC581DA">
                  <w:pPr>
                    <w:jc w:val="center"/>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每</w:t>
                  </w:r>
                  <w:r>
                    <w:rPr>
                      <w:rFonts w:hint="eastAsia"/>
                      <w:color w:val="000000" w:themeColor="text1"/>
                      <w:sz w:val="18"/>
                      <w:szCs w:val="18"/>
                      <w:highlight w:val="none"/>
                      <w:lang w:val="en-US" w:eastAsia="zh-CN"/>
                      <w14:textFill>
                        <w14:solidFill>
                          <w14:schemeClr w14:val="tx1"/>
                        </w14:solidFill>
                      </w14:textFill>
                    </w:rPr>
                    <w:t>8年</w:t>
                  </w:r>
                </w:p>
              </w:tc>
              <w:tc>
                <w:tcPr>
                  <w:tcW w:w="346" w:type="pct"/>
                  <w:tcBorders>
                    <w:tl2br w:val="nil"/>
                    <w:tr2bl w:val="nil"/>
                  </w:tcBorders>
                  <w:vAlign w:val="center"/>
                </w:tcPr>
                <w:p w14:paraId="361385A0">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T</w:t>
                  </w:r>
                </w:p>
              </w:tc>
              <w:tc>
                <w:tcPr>
                  <w:tcW w:w="445" w:type="pct"/>
                  <w:tcBorders>
                    <w:tl2br w:val="nil"/>
                    <w:tr2bl w:val="nil"/>
                  </w:tcBorders>
                  <w:vAlign w:val="center"/>
                </w:tcPr>
                <w:p w14:paraId="25FA27AA">
                  <w:pPr>
                    <w:adjustRightInd w:val="0"/>
                    <w:snapToGrid w:val="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临时存放，委托有资质单位处理</w:t>
                  </w:r>
                </w:p>
              </w:tc>
            </w:tr>
          </w:tbl>
          <w:p w14:paraId="3DB5D1DF">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w:t>
            </w:r>
            <w:r>
              <w:rPr>
                <w:rFonts w:hint="eastAsia" w:ascii="Times New Roman" w:hAnsi="Times New Roman" w:eastAsia="宋体" w:cs="Times New Roman"/>
                <w:color w:val="000000" w:themeColor="text1"/>
                <w:szCs w:val="21"/>
                <w:highlight w:val="none"/>
                <w14:textFill>
                  <w14:solidFill>
                    <w14:schemeClr w14:val="tx1"/>
                  </w14:solidFill>
                </w14:textFill>
              </w:rPr>
              <w:t>本项目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涉及的</w:t>
            </w:r>
            <w:r>
              <w:rPr>
                <w:rFonts w:hint="default" w:ascii="Times New Roman" w:hAnsi="Times New Roman" w:eastAsia="宋体" w:cs="Times New Roman"/>
                <w:color w:val="000000" w:themeColor="text1"/>
                <w:szCs w:val="21"/>
                <w:highlight w:val="none"/>
                <w14:textFill>
                  <w14:solidFill>
                    <w14:schemeClr w14:val="tx1"/>
                  </w14:solidFill>
                </w14:textFill>
              </w:rPr>
              <w:t>危险废物贮存场所基本情况表</w:t>
            </w:r>
          </w:p>
          <w:tbl>
            <w:tblPr>
              <w:tblStyle w:val="36"/>
              <w:tblW w:w="80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99"/>
              <w:gridCol w:w="1665"/>
              <w:gridCol w:w="883"/>
              <w:gridCol w:w="1165"/>
              <w:gridCol w:w="1088"/>
              <w:gridCol w:w="1016"/>
              <w:gridCol w:w="819"/>
              <w:gridCol w:w="654"/>
            </w:tblGrid>
            <w:tr w14:paraId="32FFF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99" w:type="dxa"/>
                  <w:tcBorders>
                    <w:tl2br w:val="nil"/>
                    <w:tr2bl w:val="nil"/>
                  </w:tcBorders>
                  <w:vAlign w:val="center"/>
                </w:tcPr>
                <w:p w14:paraId="034133BA">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贮存场所名称</w:t>
                  </w:r>
                </w:p>
              </w:tc>
              <w:tc>
                <w:tcPr>
                  <w:tcW w:w="1665" w:type="dxa"/>
                  <w:tcBorders>
                    <w:tl2br w:val="nil"/>
                    <w:tr2bl w:val="nil"/>
                  </w:tcBorders>
                  <w:vAlign w:val="center"/>
                </w:tcPr>
                <w:p w14:paraId="776A26A2">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危险废物名称</w:t>
                  </w:r>
                </w:p>
              </w:tc>
              <w:tc>
                <w:tcPr>
                  <w:tcW w:w="883" w:type="dxa"/>
                  <w:tcBorders>
                    <w:tl2br w:val="nil"/>
                    <w:tr2bl w:val="nil"/>
                  </w:tcBorders>
                  <w:vAlign w:val="center"/>
                </w:tcPr>
                <w:p w14:paraId="3E58FA4F">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物理性状</w:t>
                  </w:r>
                </w:p>
              </w:tc>
              <w:tc>
                <w:tcPr>
                  <w:tcW w:w="1165" w:type="dxa"/>
                  <w:tcBorders>
                    <w:tl2br w:val="nil"/>
                    <w:tr2bl w:val="nil"/>
                  </w:tcBorders>
                  <w:vAlign w:val="center"/>
                </w:tcPr>
                <w:p w14:paraId="76877101">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环境危险特性</w:t>
                  </w:r>
                </w:p>
              </w:tc>
              <w:tc>
                <w:tcPr>
                  <w:tcW w:w="1088" w:type="dxa"/>
                  <w:tcBorders>
                    <w:tl2br w:val="nil"/>
                    <w:tr2bl w:val="nil"/>
                  </w:tcBorders>
                  <w:vAlign w:val="center"/>
                </w:tcPr>
                <w:p w14:paraId="45071811">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产生量</w:t>
                  </w:r>
                </w:p>
              </w:tc>
              <w:tc>
                <w:tcPr>
                  <w:tcW w:w="1016" w:type="dxa"/>
                  <w:tcBorders>
                    <w:tl2br w:val="nil"/>
                    <w:tr2bl w:val="nil"/>
                  </w:tcBorders>
                  <w:vAlign w:val="center"/>
                </w:tcPr>
                <w:p w14:paraId="3C3322D0">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贮存方式</w:t>
                  </w:r>
                </w:p>
              </w:tc>
              <w:tc>
                <w:tcPr>
                  <w:tcW w:w="819" w:type="dxa"/>
                  <w:tcBorders>
                    <w:tl2br w:val="nil"/>
                    <w:tr2bl w:val="nil"/>
                  </w:tcBorders>
                  <w:vAlign w:val="center"/>
                </w:tcPr>
                <w:p w14:paraId="10CB48DA">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利用处置方式和去向</w:t>
                  </w:r>
                </w:p>
              </w:tc>
              <w:tc>
                <w:tcPr>
                  <w:tcW w:w="654" w:type="dxa"/>
                  <w:tcBorders>
                    <w:tl2br w:val="nil"/>
                    <w:tr2bl w:val="nil"/>
                  </w:tcBorders>
                  <w:vAlign w:val="center"/>
                </w:tcPr>
                <w:p w14:paraId="61B68B04">
                  <w:pPr>
                    <w:adjustRightInd w:val="0"/>
                    <w:snapToGrid w:val="0"/>
                    <w:jc w:val="center"/>
                    <w:rPr>
                      <w:b/>
                      <w:color w:val="000000" w:themeColor="text1"/>
                      <w:sz w:val="18"/>
                      <w:szCs w:val="18"/>
                      <w:highlight w:val="none"/>
                      <w14:textFill>
                        <w14:solidFill>
                          <w14:schemeClr w14:val="tx1"/>
                        </w14:solidFill>
                      </w14:textFill>
                    </w:rPr>
                  </w:pPr>
                  <w:r>
                    <w:rPr>
                      <w:b/>
                      <w:color w:val="000000" w:themeColor="text1"/>
                      <w:sz w:val="18"/>
                      <w:szCs w:val="18"/>
                      <w:highlight w:val="none"/>
                      <w14:textFill>
                        <w14:solidFill>
                          <w14:schemeClr w14:val="tx1"/>
                        </w14:solidFill>
                      </w14:textFill>
                    </w:rPr>
                    <w:t>利用或处置量</w:t>
                  </w:r>
                </w:p>
              </w:tc>
            </w:tr>
            <w:tr w14:paraId="6FAAAF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799" w:type="dxa"/>
                  <w:tcBorders>
                    <w:tl2br w:val="nil"/>
                    <w:tr2bl w:val="nil"/>
                  </w:tcBorders>
                  <w:vAlign w:val="center"/>
                </w:tcPr>
                <w:p w14:paraId="21D94395">
                  <w:pPr>
                    <w:adjustRightInd w:val="0"/>
                    <w:snapToGrid w:val="0"/>
                    <w:jc w:val="center"/>
                    <w:rPr>
                      <w:color w:val="000000" w:themeColor="text1"/>
                      <w:sz w:val="18"/>
                      <w:szCs w:val="18"/>
                      <w:highlight w:val="none"/>
                      <w14:textFill>
                        <w14:solidFill>
                          <w14:schemeClr w14:val="tx1"/>
                        </w14:solidFill>
                      </w14:textFill>
                    </w:rPr>
                  </w:pPr>
                  <w:r>
                    <w:rPr>
                      <w:snapToGrid w:val="0"/>
                      <w:color w:val="000000" w:themeColor="text1"/>
                      <w:kern w:val="0"/>
                      <w:sz w:val="18"/>
                      <w:szCs w:val="18"/>
                      <w:highlight w:val="none"/>
                      <w14:textFill>
                        <w14:solidFill>
                          <w14:schemeClr w14:val="tx1"/>
                        </w14:solidFill>
                      </w14:textFill>
                    </w:rPr>
                    <w:t>危险废物暂存库</w:t>
                  </w:r>
                </w:p>
              </w:tc>
              <w:tc>
                <w:tcPr>
                  <w:tcW w:w="1665" w:type="dxa"/>
                  <w:tcBorders>
                    <w:tl2br w:val="nil"/>
                    <w:tr2bl w:val="nil"/>
                  </w:tcBorders>
                  <w:shd w:val="clear" w:color="auto" w:fill="auto"/>
                  <w:vAlign w:val="center"/>
                </w:tcPr>
                <w:p w14:paraId="270268B9">
                  <w:pPr>
                    <w:jc w:val="center"/>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废离子交换树脂</w:t>
                  </w:r>
                </w:p>
              </w:tc>
              <w:tc>
                <w:tcPr>
                  <w:tcW w:w="883" w:type="dxa"/>
                  <w:tcBorders>
                    <w:tl2br w:val="nil"/>
                    <w:tr2bl w:val="nil"/>
                  </w:tcBorders>
                  <w:shd w:val="clear" w:color="auto" w:fill="auto"/>
                  <w:vAlign w:val="center"/>
                </w:tcPr>
                <w:p w14:paraId="22784086">
                  <w:pPr>
                    <w:adjustRightInd w:val="0"/>
                    <w:snapToGrid w:val="0"/>
                    <w:spacing w:line="240" w:lineRule="exact"/>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固态</w:t>
                  </w:r>
                </w:p>
              </w:tc>
              <w:tc>
                <w:tcPr>
                  <w:tcW w:w="1165" w:type="dxa"/>
                  <w:tcBorders>
                    <w:tl2br w:val="nil"/>
                    <w:tr2bl w:val="nil"/>
                  </w:tcBorders>
                  <w:shd w:val="clear" w:color="auto" w:fill="auto"/>
                  <w:vAlign w:val="center"/>
                </w:tcPr>
                <w:p w14:paraId="7A501ACF">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T</w:t>
                  </w:r>
                </w:p>
              </w:tc>
              <w:tc>
                <w:tcPr>
                  <w:tcW w:w="1088" w:type="dxa"/>
                  <w:tcBorders>
                    <w:tl2br w:val="nil"/>
                    <w:tr2bl w:val="nil"/>
                  </w:tcBorders>
                  <w:shd w:val="clear" w:color="auto" w:fill="auto"/>
                  <w:vAlign w:val="center"/>
                </w:tcPr>
                <w:p w14:paraId="6E217800">
                  <w:pPr>
                    <w:pStyle w:val="11"/>
                    <w:spacing w:line="240" w:lineRule="exact"/>
                    <w:ind w:firstLine="0" w:firstLineChars="0"/>
                    <w:jc w:val="center"/>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10t/8a</w:t>
                  </w:r>
                </w:p>
              </w:tc>
              <w:tc>
                <w:tcPr>
                  <w:tcW w:w="1016" w:type="dxa"/>
                  <w:tcBorders>
                    <w:tl2br w:val="nil"/>
                    <w:tr2bl w:val="nil"/>
                  </w:tcBorders>
                  <w:vAlign w:val="center"/>
                </w:tcPr>
                <w:p w14:paraId="15057B22">
                  <w:pPr>
                    <w:adjustRightInd w:val="0"/>
                    <w:snapToGrid w:val="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桶装</w:t>
                  </w:r>
                </w:p>
              </w:tc>
              <w:tc>
                <w:tcPr>
                  <w:tcW w:w="819" w:type="dxa"/>
                  <w:tcBorders>
                    <w:tl2br w:val="nil"/>
                    <w:tr2bl w:val="nil"/>
                  </w:tcBorders>
                  <w:vAlign w:val="center"/>
                </w:tcPr>
                <w:p w14:paraId="0E5186D2">
                  <w:pPr>
                    <w:adjustRightInd w:val="0"/>
                    <w:snapToGrid w:val="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均委托有资质单位处理处置</w:t>
                  </w:r>
                </w:p>
              </w:tc>
              <w:tc>
                <w:tcPr>
                  <w:tcW w:w="654" w:type="dxa"/>
                  <w:tcBorders>
                    <w:tl2br w:val="nil"/>
                    <w:tr2bl w:val="nil"/>
                  </w:tcBorders>
                  <w:shd w:val="clear" w:color="auto" w:fill="auto"/>
                  <w:vAlign w:val="center"/>
                </w:tcPr>
                <w:p w14:paraId="68ADD3FE">
                  <w:pPr>
                    <w:pStyle w:val="11"/>
                    <w:spacing w:line="240" w:lineRule="exact"/>
                    <w:ind w:firstLine="0" w:firstLineChars="0"/>
                    <w:jc w:val="center"/>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10t/8a</w:t>
                  </w:r>
                </w:p>
              </w:tc>
            </w:tr>
          </w:tbl>
          <w:p w14:paraId="7B652FD4">
            <w:pPr>
              <w:spacing w:line="400" w:lineRule="exact"/>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）处置方式</w:t>
            </w:r>
          </w:p>
          <w:p w14:paraId="73E8C8A1">
            <w:pPr>
              <w:adjustRightInd w:val="0"/>
              <w:snapToGrid w:val="0"/>
              <w:spacing w:line="400" w:lineRule="exact"/>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建设单位采用减量化、资源化、无害化的处理原则，对固废进行分类处理、处置：</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污水处理污泥、</w:t>
            </w:r>
            <w:r>
              <w:rPr>
                <w:rFonts w:hint="eastAsia" w:cs="Times New Roman"/>
                <w:bCs/>
                <w:color w:val="000000" w:themeColor="text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属于一般工业固废，污水处理污泥作为本厂区的绿化用泥综合利用；</w:t>
            </w:r>
            <w:r>
              <w:rPr>
                <w:rFonts w:hint="eastAsia" w:cs="Times New Roman"/>
                <w:bCs/>
                <w:color w:val="000000" w:themeColor="text1"/>
                <w:szCs w:val="21"/>
                <w:highlight w:val="none"/>
                <w:lang w:val="en-US" w:eastAsia="zh-CN"/>
                <w14:textFill>
                  <w14:solidFill>
                    <w14:schemeClr w14:val="tx1"/>
                  </w14:solidFill>
                </w14:textFill>
              </w:rPr>
              <w:t>超滤及反渗透膜委外处理，即产即清，无需在厂内储存；</w:t>
            </w:r>
            <w: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t>废离子交换树脂属于危废，委托有资质单位处置</w:t>
            </w:r>
            <w:r>
              <w:rPr>
                <w:color w:val="000000" w:themeColor="text1"/>
                <w:szCs w:val="21"/>
                <w:highlight w:val="none"/>
                <w14:textFill>
                  <w14:solidFill>
                    <w14:schemeClr w14:val="tx1"/>
                  </w14:solidFill>
                </w14:textFill>
              </w:rPr>
              <w:t>。本项目固体废物利用处置方案结果见</w:t>
            </w:r>
            <w:r>
              <w:rPr>
                <w:rFonts w:hint="eastAsia"/>
                <w:color w:val="000000" w:themeColor="text1"/>
                <w:szCs w:val="21"/>
                <w:highlight w:val="none"/>
                <w14:textFill>
                  <w14:solidFill>
                    <w14:schemeClr w14:val="tx1"/>
                  </w14:solidFill>
                </w14:textFill>
              </w:rPr>
              <w:t>下表</w:t>
            </w:r>
            <w:r>
              <w:rPr>
                <w:color w:val="000000" w:themeColor="text1"/>
                <w:szCs w:val="21"/>
                <w:highlight w:val="none"/>
                <w14:textFill>
                  <w14:solidFill>
                    <w14:schemeClr w14:val="tx1"/>
                  </w14:solidFill>
                </w14:textFill>
              </w:rPr>
              <w:t>。</w:t>
            </w:r>
          </w:p>
          <w:p w14:paraId="4465C8FE">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7</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涉及的</w:t>
            </w:r>
            <w:r>
              <w:rPr>
                <w:rFonts w:hint="default" w:ascii="Times New Roman" w:hAnsi="Times New Roman" w:eastAsia="宋体" w:cs="Times New Roman"/>
                <w:color w:val="000000" w:themeColor="text1"/>
                <w:szCs w:val="21"/>
                <w:highlight w:val="none"/>
                <w14:textFill>
                  <w14:solidFill>
                    <w14:schemeClr w14:val="tx1"/>
                  </w14:solidFill>
                </w14:textFill>
              </w:rPr>
              <w:t>固体废物利用处置方案结果表</w:t>
            </w:r>
          </w:p>
          <w:tbl>
            <w:tblPr>
              <w:tblStyle w:val="36"/>
              <w:tblW w:w="8118"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841"/>
              <w:gridCol w:w="1063"/>
              <w:gridCol w:w="1257"/>
              <w:gridCol w:w="1445"/>
              <w:gridCol w:w="1839"/>
            </w:tblGrid>
            <w:tr w14:paraId="380BB6E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0FDC7F89">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序号</w:t>
                  </w:r>
                </w:p>
              </w:tc>
              <w:tc>
                <w:tcPr>
                  <w:tcW w:w="1841" w:type="dxa"/>
                  <w:tcBorders>
                    <w:tl2br w:val="nil"/>
                    <w:tr2bl w:val="nil"/>
                  </w:tcBorders>
                  <w:vAlign w:val="center"/>
                </w:tcPr>
                <w:p w14:paraId="19155448">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固体废物名称</w:t>
                  </w:r>
                </w:p>
              </w:tc>
              <w:tc>
                <w:tcPr>
                  <w:tcW w:w="1063" w:type="dxa"/>
                  <w:tcBorders>
                    <w:tl2br w:val="nil"/>
                    <w:tr2bl w:val="nil"/>
                  </w:tcBorders>
                  <w:vAlign w:val="center"/>
                </w:tcPr>
                <w:p w14:paraId="624F19C2">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属性</w:t>
                  </w:r>
                </w:p>
              </w:tc>
              <w:tc>
                <w:tcPr>
                  <w:tcW w:w="1257" w:type="dxa"/>
                  <w:tcBorders>
                    <w:tl2br w:val="nil"/>
                    <w:tr2bl w:val="nil"/>
                  </w:tcBorders>
                  <w:vAlign w:val="center"/>
                </w:tcPr>
                <w:p w14:paraId="0F9C0BE2">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废物代码</w:t>
                  </w:r>
                </w:p>
              </w:tc>
              <w:tc>
                <w:tcPr>
                  <w:tcW w:w="1445" w:type="dxa"/>
                  <w:tcBorders>
                    <w:tl2br w:val="nil"/>
                    <w:tr2bl w:val="nil"/>
                  </w:tcBorders>
                  <w:vAlign w:val="center"/>
                </w:tcPr>
                <w:p w14:paraId="70809FDC">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产生量</w:t>
                  </w:r>
                </w:p>
              </w:tc>
              <w:tc>
                <w:tcPr>
                  <w:tcW w:w="1839" w:type="dxa"/>
                  <w:tcBorders>
                    <w:tl2br w:val="nil"/>
                    <w:tr2bl w:val="nil"/>
                  </w:tcBorders>
                  <w:vAlign w:val="center"/>
                </w:tcPr>
                <w:p w14:paraId="1181B50F">
                  <w:pPr>
                    <w:adjustRightInd w:val="0"/>
                    <w:snapToGrid w:val="0"/>
                    <w:jc w:val="center"/>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利用处置方式</w:t>
                  </w:r>
                </w:p>
              </w:tc>
            </w:tr>
            <w:tr w14:paraId="23A581A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34755799">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1</w:t>
                  </w:r>
                </w:p>
              </w:tc>
              <w:tc>
                <w:tcPr>
                  <w:tcW w:w="1841" w:type="dxa"/>
                  <w:tcBorders>
                    <w:tl2br w:val="nil"/>
                    <w:tr2bl w:val="nil"/>
                  </w:tcBorders>
                  <w:vAlign w:val="center"/>
                </w:tcPr>
                <w:p w14:paraId="14AE5696">
                  <w:pPr>
                    <w:pStyle w:val="198"/>
                    <w:rPr>
                      <w:snapToGrid w:val="0"/>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污泥</w:t>
                  </w:r>
                </w:p>
              </w:tc>
              <w:tc>
                <w:tcPr>
                  <w:tcW w:w="1063" w:type="dxa"/>
                  <w:tcBorders>
                    <w:tl2br w:val="nil"/>
                    <w:tr2bl w:val="nil"/>
                  </w:tcBorders>
                  <w:vAlign w:val="center"/>
                </w:tcPr>
                <w:p w14:paraId="7F3C6F56">
                  <w:pPr>
                    <w:adjustRightInd w:val="0"/>
                    <w:snapToGrid w:val="0"/>
                    <w:spacing w:line="240" w:lineRule="exact"/>
                    <w:jc w:val="center"/>
                    <w:rPr>
                      <w:snapToGrid w:val="0"/>
                      <w:color w:val="000000" w:themeColor="text1"/>
                      <w:kern w:val="0"/>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一般固废</w:t>
                  </w:r>
                </w:p>
              </w:tc>
              <w:tc>
                <w:tcPr>
                  <w:tcW w:w="1257" w:type="dxa"/>
                  <w:tcBorders>
                    <w:tl2br w:val="nil"/>
                    <w:tr2bl w:val="nil"/>
                  </w:tcBorders>
                  <w:shd w:val="clear" w:color="auto" w:fill="auto"/>
                  <w:vAlign w:val="center"/>
                </w:tcPr>
                <w:p w14:paraId="4C8834F2">
                  <w:pPr>
                    <w:jc w:val="center"/>
                    <w:rPr>
                      <w:color w:val="000000" w:themeColor="text1"/>
                      <w:sz w:val="18"/>
                      <w:szCs w:val="18"/>
                      <w:highlight w:val="none"/>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441</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001-</w:t>
                  </w:r>
                  <w:r>
                    <w:rPr>
                      <w:color w:val="000000" w:themeColor="text1"/>
                      <w:sz w:val="18"/>
                      <w:szCs w:val="18"/>
                      <w:highlight w:val="none"/>
                      <w14:textFill>
                        <w14:solidFill>
                          <w14:schemeClr w14:val="tx1"/>
                        </w14:solidFill>
                      </w14:textFill>
                    </w:rPr>
                    <w:t>59</w:t>
                  </w:r>
                </w:p>
              </w:tc>
              <w:tc>
                <w:tcPr>
                  <w:tcW w:w="1445" w:type="dxa"/>
                  <w:tcBorders>
                    <w:tl2br w:val="nil"/>
                    <w:tr2bl w:val="nil"/>
                  </w:tcBorders>
                  <w:shd w:val="clear" w:color="auto" w:fill="auto"/>
                  <w:vAlign w:val="center"/>
                </w:tcPr>
                <w:p w14:paraId="206407C0">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1500t/a</w:t>
                  </w:r>
                </w:p>
              </w:tc>
              <w:tc>
                <w:tcPr>
                  <w:tcW w:w="1839" w:type="dxa"/>
                  <w:tcBorders>
                    <w:tl2br w:val="nil"/>
                    <w:tr2bl w:val="nil"/>
                  </w:tcBorders>
                  <w:vAlign w:val="center"/>
                </w:tcPr>
                <w:p w14:paraId="388A1071">
                  <w:pPr>
                    <w:adjustRightInd w:val="0"/>
                    <w:snapToGrid w:val="0"/>
                    <w:jc w:val="center"/>
                    <w:rPr>
                      <w:color w:val="000000" w:themeColor="text1"/>
                      <w:sz w:val="18"/>
                      <w:szCs w:val="18"/>
                      <w:highlight w:val="none"/>
                      <w14:textFill>
                        <w14:solidFill>
                          <w14:schemeClr w14:val="tx1"/>
                        </w14:solidFill>
                      </w14:textFill>
                    </w:rPr>
                  </w:pPr>
                  <w:r>
                    <w:rPr>
                      <w:rFonts w:hint="default"/>
                      <w:color w:val="000000" w:themeColor="text1"/>
                      <w:sz w:val="18"/>
                      <w:szCs w:val="18"/>
                      <w:highlight w:val="none"/>
                      <w:lang w:val="en-US" w:eastAsia="zh-CN"/>
                      <w14:textFill>
                        <w14:solidFill>
                          <w14:schemeClr w14:val="tx1"/>
                        </w14:solidFill>
                      </w14:textFill>
                    </w:rPr>
                    <w:t>作为本厂区的绿化用泥综合利用</w:t>
                  </w:r>
                </w:p>
              </w:tc>
            </w:tr>
            <w:tr w14:paraId="71B8ADF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1F6C1C98">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2</w:t>
                  </w:r>
                </w:p>
              </w:tc>
              <w:tc>
                <w:tcPr>
                  <w:tcW w:w="1841" w:type="dxa"/>
                  <w:tcBorders>
                    <w:tl2br w:val="nil"/>
                    <w:tr2bl w:val="nil"/>
                  </w:tcBorders>
                  <w:vAlign w:val="center"/>
                </w:tcPr>
                <w:p w14:paraId="1191B1C9">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废超滤膜</w:t>
                  </w:r>
                </w:p>
              </w:tc>
              <w:tc>
                <w:tcPr>
                  <w:tcW w:w="1063" w:type="dxa"/>
                  <w:tcBorders>
                    <w:tl2br w:val="nil"/>
                    <w:tr2bl w:val="nil"/>
                  </w:tcBorders>
                  <w:vAlign w:val="center"/>
                </w:tcPr>
                <w:p w14:paraId="1D5E3933">
                  <w:pPr>
                    <w:adjustRightInd w:val="0"/>
                    <w:snapToGrid w:val="0"/>
                    <w:spacing w:line="240" w:lineRule="exact"/>
                    <w:jc w:val="center"/>
                    <w:rPr>
                      <w:rFonts w:hint="default" w:eastAsia="宋体"/>
                      <w:snapToGrid w:val="0"/>
                      <w:color w:val="000000" w:themeColor="text1"/>
                      <w:kern w:val="0"/>
                      <w:sz w:val="18"/>
                      <w:szCs w:val="18"/>
                      <w:highlight w:val="none"/>
                      <w:lang w:val="en-US" w:eastAsia="zh-CN"/>
                      <w14:textFill>
                        <w14:solidFill>
                          <w14:schemeClr w14:val="tx1"/>
                        </w14:solidFill>
                      </w14:textFill>
                    </w:rPr>
                  </w:pPr>
                  <w:r>
                    <w:rPr>
                      <w:rFonts w:hint="eastAsia"/>
                      <w:snapToGrid w:val="0"/>
                      <w:color w:val="000000" w:themeColor="text1"/>
                      <w:kern w:val="0"/>
                      <w:sz w:val="18"/>
                      <w:szCs w:val="18"/>
                      <w:highlight w:val="none"/>
                      <w:lang w:val="en-US" w:eastAsia="zh-CN"/>
                      <w14:textFill>
                        <w14:solidFill>
                          <w14:schemeClr w14:val="tx1"/>
                        </w14:solidFill>
                      </w14:textFill>
                    </w:rPr>
                    <w:t>一般固废</w:t>
                  </w:r>
                </w:p>
              </w:tc>
              <w:tc>
                <w:tcPr>
                  <w:tcW w:w="1257" w:type="dxa"/>
                  <w:tcBorders>
                    <w:tl2br w:val="nil"/>
                    <w:tr2bl w:val="nil"/>
                  </w:tcBorders>
                  <w:shd w:val="clear" w:color="auto" w:fill="auto"/>
                  <w:vAlign w:val="center"/>
                </w:tcPr>
                <w:p w14:paraId="42C51073">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999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99</w:t>
                  </w:r>
                </w:p>
              </w:tc>
              <w:tc>
                <w:tcPr>
                  <w:tcW w:w="1445" w:type="dxa"/>
                  <w:tcBorders>
                    <w:tl2br w:val="nil"/>
                    <w:tr2bl w:val="nil"/>
                  </w:tcBorders>
                  <w:shd w:val="clear" w:color="auto" w:fill="auto"/>
                  <w:vAlign w:val="center"/>
                </w:tcPr>
                <w:p w14:paraId="1D14EB17">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1t/10年</w:t>
                  </w:r>
                </w:p>
              </w:tc>
              <w:tc>
                <w:tcPr>
                  <w:tcW w:w="1839" w:type="dxa"/>
                  <w:vMerge w:val="restart"/>
                  <w:tcBorders>
                    <w:tl2br w:val="nil"/>
                    <w:tr2bl w:val="nil"/>
                  </w:tcBorders>
                  <w:vAlign w:val="center"/>
                </w:tcPr>
                <w:p w14:paraId="366ED50F">
                  <w:pPr>
                    <w:adjustRightInd w:val="0"/>
                    <w:snapToGrid w:val="0"/>
                    <w:jc w:val="center"/>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委外处理</w:t>
                  </w:r>
                </w:p>
              </w:tc>
            </w:tr>
            <w:tr w14:paraId="7C4C3E5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54F6067D">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3</w:t>
                  </w:r>
                </w:p>
              </w:tc>
              <w:tc>
                <w:tcPr>
                  <w:tcW w:w="1841" w:type="dxa"/>
                  <w:tcBorders>
                    <w:tl2br w:val="nil"/>
                    <w:tr2bl w:val="nil"/>
                  </w:tcBorders>
                  <w:vAlign w:val="center"/>
                </w:tcPr>
                <w:p w14:paraId="7D63C0B3">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废反渗透</w:t>
                  </w:r>
                </w:p>
              </w:tc>
              <w:tc>
                <w:tcPr>
                  <w:tcW w:w="1063" w:type="dxa"/>
                  <w:tcBorders>
                    <w:tl2br w:val="nil"/>
                    <w:tr2bl w:val="nil"/>
                  </w:tcBorders>
                  <w:vAlign w:val="center"/>
                </w:tcPr>
                <w:p w14:paraId="76E48451">
                  <w:pPr>
                    <w:jc w:val="center"/>
                    <w:rPr>
                      <w:snapToGrid w:val="0"/>
                      <w:color w:val="000000" w:themeColor="text1"/>
                      <w:kern w:val="0"/>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一般固废</w:t>
                  </w:r>
                </w:p>
              </w:tc>
              <w:tc>
                <w:tcPr>
                  <w:tcW w:w="1257" w:type="dxa"/>
                  <w:tcBorders>
                    <w:tl2br w:val="nil"/>
                    <w:tr2bl w:val="nil"/>
                  </w:tcBorders>
                  <w:shd w:val="clear" w:color="auto" w:fill="auto"/>
                  <w:vAlign w:val="center"/>
                </w:tcPr>
                <w:p w14:paraId="37B509D8">
                  <w:pPr>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999</w:t>
                  </w:r>
                  <w:r>
                    <w:rPr>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99</w:t>
                  </w:r>
                </w:p>
              </w:tc>
              <w:tc>
                <w:tcPr>
                  <w:tcW w:w="1445" w:type="dxa"/>
                  <w:tcBorders>
                    <w:tl2br w:val="nil"/>
                    <w:tr2bl w:val="nil"/>
                  </w:tcBorders>
                  <w:shd w:val="clear" w:color="auto" w:fill="auto"/>
                  <w:vAlign w:val="center"/>
                </w:tcPr>
                <w:p w14:paraId="37476508">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3t/5年</w:t>
                  </w:r>
                </w:p>
              </w:tc>
              <w:tc>
                <w:tcPr>
                  <w:tcW w:w="1839" w:type="dxa"/>
                  <w:vMerge w:val="continue"/>
                  <w:tcBorders>
                    <w:tl2br w:val="nil"/>
                    <w:tr2bl w:val="nil"/>
                  </w:tcBorders>
                  <w:vAlign w:val="center"/>
                </w:tcPr>
                <w:p w14:paraId="48FBBB46">
                  <w:pPr>
                    <w:adjustRightInd w:val="0"/>
                    <w:snapToGrid w:val="0"/>
                    <w:jc w:val="center"/>
                    <w:rPr>
                      <w:rFonts w:hint="eastAsia" w:eastAsia="宋体"/>
                      <w:color w:val="000000" w:themeColor="text1"/>
                      <w:sz w:val="18"/>
                      <w:szCs w:val="18"/>
                      <w:highlight w:val="none"/>
                      <w:lang w:val="en-US" w:eastAsia="zh-CN"/>
                      <w14:textFill>
                        <w14:solidFill>
                          <w14:schemeClr w14:val="tx1"/>
                        </w14:solidFill>
                      </w14:textFill>
                    </w:rPr>
                  </w:pPr>
                </w:p>
              </w:tc>
            </w:tr>
            <w:tr w14:paraId="30E3A23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13FFE473">
                  <w:pPr>
                    <w:pStyle w:val="11"/>
                    <w:spacing w:line="240" w:lineRule="exact"/>
                    <w:ind w:firstLine="0" w:firstLineChars="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4</w:t>
                  </w:r>
                </w:p>
              </w:tc>
              <w:tc>
                <w:tcPr>
                  <w:tcW w:w="1841" w:type="dxa"/>
                  <w:tcBorders>
                    <w:tl2br w:val="nil"/>
                    <w:tr2bl w:val="nil"/>
                  </w:tcBorders>
                  <w:vAlign w:val="center"/>
                </w:tcPr>
                <w:p w14:paraId="5AEBD1A3">
                  <w:pPr>
                    <w:pStyle w:val="198"/>
                    <w:rPr>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废离子交换树脂</w:t>
                  </w:r>
                </w:p>
              </w:tc>
              <w:tc>
                <w:tcPr>
                  <w:tcW w:w="1063" w:type="dxa"/>
                  <w:tcBorders>
                    <w:tl2br w:val="nil"/>
                    <w:tr2bl w:val="nil"/>
                  </w:tcBorders>
                  <w:vAlign w:val="center"/>
                </w:tcPr>
                <w:p w14:paraId="23D64D75">
                  <w:pPr>
                    <w:adjustRightInd w:val="0"/>
                    <w:snapToGrid w:val="0"/>
                    <w:spacing w:line="240" w:lineRule="exact"/>
                    <w:jc w:val="center"/>
                    <w:rPr>
                      <w:snapToGrid w:val="0"/>
                      <w:color w:val="000000" w:themeColor="text1"/>
                      <w:kern w:val="0"/>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危险固废</w:t>
                  </w:r>
                </w:p>
              </w:tc>
              <w:tc>
                <w:tcPr>
                  <w:tcW w:w="1257" w:type="dxa"/>
                  <w:tcBorders>
                    <w:tl2br w:val="nil"/>
                    <w:tr2bl w:val="nil"/>
                  </w:tcBorders>
                  <w:shd w:val="clear" w:color="auto" w:fill="auto"/>
                  <w:vAlign w:val="center"/>
                </w:tcPr>
                <w:p w14:paraId="6F6642EA">
                  <w:pPr>
                    <w:jc w:val="center"/>
                    <w:rPr>
                      <w:color w:val="000000" w:themeColor="text1"/>
                      <w:sz w:val="18"/>
                      <w:szCs w:val="18"/>
                      <w:highlight w:val="none"/>
                      <w14:textFill>
                        <w14:solidFill>
                          <w14:schemeClr w14:val="tx1"/>
                        </w14:solidFill>
                      </w14:textFill>
                    </w:rPr>
                  </w:pPr>
                  <w:r>
                    <w:rPr>
                      <w:rFonts w:ascii="Times New Roman"/>
                      <w:color w:val="000000" w:themeColor="text1"/>
                      <w:sz w:val="18"/>
                      <w:szCs w:val="18"/>
                      <w:highlight w:val="none"/>
                      <w14:textFill>
                        <w14:solidFill>
                          <w14:schemeClr w14:val="tx1"/>
                        </w14:solidFill>
                      </w14:textFill>
                    </w:rPr>
                    <w:t>900-</w:t>
                  </w:r>
                  <w:r>
                    <w:rPr>
                      <w:rFonts w:hint="eastAsia"/>
                      <w:color w:val="000000" w:themeColor="text1"/>
                      <w:sz w:val="18"/>
                      <w:szCs w:val="18"/>
                      <w:highlight w:val="none"/>
                      <w:lang w:val="en-US" w:eastAsia="zh-CN"/>
                      <w14:textFill>
                        <w14:solidFill>
                          <w14:schemeClr w14:val="tx1"/>
                        </w14:solidFill>
                      </w14:textFill>
                    </w:rPr>
                    <w:t>015</w:t>
                  </w:r>
                  <w:r>
                    <w:rPr>
                      <w:rFonts w:ascii="Times New Roman"/>
                      <w:color w:val="000000" w:themeColor="text1"/>
                      <w:sz w:val="18"/>
                      <w:szCs w:val="18"/>
                      <w:highlight w:val="none"/>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13</w:t>
                  </w:r>
                </w:p>
              </w:tc>
              <w:tc>
                <w:tcPr>
                  <w:tcW w:w="1445" w:type="dxa"/>
                  <w:tcBorders>
                    <w:tl2br w:val="nil"/>
                    <w:tr2bl w:val="nil"/>
                  </w:tcBorders>
                  <w:shd w:val="clear" w:color="auto" w:fill="auto"/>
                  <w:vAlign w:val="center"/>
                </w:tcPr>
                <w:p w14:paraId="4121FACD">
                  <w:pPr>
                    <w:pStyle w:val="198"/>
                    <w:rPr>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10t/8a</w:t>
                  </w:r>
                </w:p>
              </w:tc>
              <w:tc>
                <w:tcPr>
                  <w:tcW w:w="1839" w:type="dxa"/>
                  <w:tcBorders>
                    <w:tl2br w:val="nil"/>
                    <w:tr2bl w:val="nil"/>
                  </w:tcBorders>
                  <w:vAlign w:val="center"/>
                </w:tcPr>
                <w:p w14:paraId="4F9F649C">
                  <w:pPr>
                    <w:adjustRightInd w:val="0"/>
                    <w:snapToGrid w:val="0"/>
                    <w:jc w:val="center"/>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委托有资质单位</w:t>
                  </w:r>
                  <w:r>
                    <w:rPr>
                      <w:rFonts w:hint="eastAsia"/>
                      <w:color w:val="000000" w:themeColor="text1"/>
                      <w:sz w:val="18"/>
                      <w:szCs w:val="18"/>
                      <w:highlight w:val="none"/>
                      <w14:textFill>
                        <w14:solidFill>
                          <w14:schemeClr w14:val="tx1"/>
                        </w14:solidFill>
                      </w14:textFill>
                    </w:rPr>
                    <w:t>处置</w:t>
                  </w:r>
                </w:p>
              </w:tc>
            </w:tr>
            <w:bookmarkEnd w:id="7"/>
            <w:bookmarkEnd w:id="8"/>
          </w:tbl>
          <w:p w14:paraId="690BFFE6">
            <w:pPr>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）环境管理要求</w:t>
            </w:r>
          </w:p>
          <w:p w14:paraId="20DBE3E1">
            <w:pPr>
              <w:adjustRightInd w:val="0"/>
              <w:snapToGrid w:val="0"/>
              <w:spacing w:line="400" w:lineRule="exact"/>
              <w:ind w:firstLine="420" w:firstLineChars="200"/>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1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①</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固体废物的分类收集、贮存：危险废物与一般工业固体废物和生活垃圾的混放会对环境产生一定的影响。本期项目严格固体废物分类收集、贮存，危险废物与一般工业固体废物和生活垃圾不得混放；须严格按照《省生态环境厅关于进一步完善一般工业固体废物环境管理的通知》（苏环办〔2023〕327号）、关于印发《江苏省固体废物全过程环境监管工作意见》的通知（苏环发〔2024〕16 号）等相关规定执行</w:t>
            </w:r>
            <w:r>
              <w:rPr>
                <w:rFonts w:hint="eastAsia" w:ascii="Times New Roman" w:hAnsi="Times New Roman" w:eastAsia="宋体" w:cs="Times New Roman"/>
                <w:color w:val="000000" w:themeColor="text1"/>
                <w:szCs w:val="21"/>
                <w:highlight w:val="none"/>
                <w:lang w:eastAsia="zh-CN"/>
                <w14:textFill>
                  <w14:solidFill>
                    <w14:schemeClr w14:val="tx1"/>
                  </w14:solidFill>
                </w14:textFill>
              </w:rPr>
              <w:t>。</w:t>
            </w:r>
          </w:p>
          <w:p w14:paraId="167F6F0A">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2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②</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须严格控制运输过程中危废散落、泄露，减少对环境影响。本期项目危废运输须按照《危险废物收集贮存运输技术规范》（HJ2025-2012）、《苏州市危险废物贮存规范化管理专项整治行动方案配套实施意见》（苏环管字[2019]53号）等相关规定执行，及时委托有资质单位清运处置。</w:t>
            </w:r>
          </w:p>
          <w:p w14:paraId="37AA8EF6">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3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③</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堆放、贮存场所的环境影响分析</w:t>
            </w:r>
          </w:p>
          <w:p w14:paraId="3092348A">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厂内设置1个独立的危废仓库，危废仓库面积为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40</w:t>
            </w:r>
            <w:r>
              <w:rPr>
                <w:rFonts w:hint="default" w:ascii="Times New Roman" w:hAnsi="Times New Roman" w:eastAsia="宋体" w:cs="Times New Roman"/>
                <w:color w:val="000000" w:themeColor="text1"/>
                <w:szCs w:val="21"/>
                <w:highlight w:val="none"/>
                <w14:textFill>
                  <w14:solidFill>
                    <w14:schemeClr w14:val="tx1"/>
                  </w14:solidFill>
                </w14:textFill>
              </w:rPr>
              <w:t>m</w:t>
            </w:r>
            <w:r>
              <w:rPr>
                <w:rFonts w:hint="default" w:ascii="Times New Roman" w:hAnsi="Times New Roman" w:eastAsia="宋体" w:cs="Times New Roman"/>
                <w:color w:val="000000" w:themeColor="text1"/>
                <w:szCs w:val="2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，危废暂存时间为3个月。危险废物其在厂内收集和临时储存应严格执行《危险废物贮存污染控制标准》（GB18597-2023）相关规定。</w:t>
            </w:r>
          </w:p>
          <w:p w14:paraId="3C49D84C">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危险废物应尽快送往委托单位处理，不宜存放过长时间，确需暂存的，危废暂存场所</w:t>
            </w:r>
            <w:r>
              <w:rPr>
                <w:rFonts w:hint="default" w:ascii="Times New Roman" w:hAnsi="Times New Roman" w:eastAsia="宋体" w:cs="Times New Roman"/>
                <w:color w:val="000000" w:themeColor="text1"/>
                <w:highlight w:val="none"/>
                <w14:textFill>
                  <w14:solidFill>
                    <w14:schemeClr w14:val="tx1"/>
                  </w14:solidFill>
                </w14:textFill>
              </w:rPr>
              <w:t>需按照规范要求建设，主要</w:t>
            </w:r>
            <w:r>
              <w:rPr>
                <w:rFonts w:hint="default" w:ascii="Times New Roman" w:hAnsi="Times New Roman" w:eastAsia="宋体" w:cs="Times New Roman"/>
                <w:color w:val="000000" w:themeColor="text1"/>
                <w:szCs w:val="21"/>
                <w:highlight w:val="none"/>
                <w14:textFill>
                  <w14:solidFill>
                    <w14:schemeClr w14:val="tx1"/>
                  </w14:solidFill>
                </w14:textFill>
              </w:rPr>
              <w:t>要求分析如下表：</w:t>
            </w:r>
          </w:p>
          <w:p w14:paraId="3267F14B">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cs="Times New Roman"/>
                <w:color w:val="000000" w:themeColor="text1"/>
                <w:szCs w:val="21"/>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危险废物贮存场所规范设置表</w:t>
            </w:r>
          </w:p>
          <w:tbl>
            <w:tblPr>
              <w:tblStyle w:val="3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750"/>
              <w:gridCol w:w="3994"/>
              <w:gridCol w:w="971"/>
            </w:tblGrid>
            <w:tr w14:paraId="5D2C7D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tcBorders>
                    <w:top w:val="single" w:color="auto" w:sz="12" w:space="0"/>
                    <w:bottom w:val="double" w:color="auto" w:sz="4" w:space="0"/>
                  </w:tcBorders>
                  <w:shd w:val="clear" w:color="auto" w:fill="auto"/>
                  <w:vAlign w:val="center"/>
                </w:tcPr>
                <w:p w14:paraId="2BB70EA7">
                  <w:pPr>
                    <w:adjustRightInd w:val="0"/>
                    <w:snapToGrid w:val="0"/>
                    <w:jc w:val="cente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序</w:t>
                  </w:r>
                  <w:r>
                    <w:rPr>
                      <w:rFonts w:hint="eastAsia" w:cs="Times New Roman"/>
                      <w:color w:val="000000" w:themeColor="text1"/>
                      <w:sz w:val="18"/>
                      <w:szCs w:val="18"/>
                      <w:highlight w:val="none"/>
                      <w:lang w:val="en-US" w:eastAsia="zh-CN"/>
                      <w14:textFill>
                        <w14:solidFill>
                          <w14:schemeClr w14:val="tx1"/>
                        </w14:solidFill>
                      </w14:textFill>
                    </w:rPr>
                    <w:t>号</w:t>
                  </w:r>
                </w:p>
              </w:tc>
              <w:tc>
                <w:tcPr>
                  <w:tcW w:w="2750" w:type="dxa"/>
                  <w:tcBorders>
                    <w:top w:val="single" w:color="auto" w:sz="12" w:space="0"/>
                    <w:bottom w:val="double" w:color="auto" w:sz="4" w:space="0"/>
                  </w:tcBorders>
                  <w:shd w:val="clear" w:color="auto" w:fill="auto"/>
                  <w:vAlign w:val="center"/>
                </w:tcPr>
                <w:p w14:paraId="3CAEBC1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规范设置要求</w:t>
                  </w:r>
                </w:p>
              </w:tc>
              <w:tc>
                <w:tcPr>
                  <w:tcW w:w="3994" w:type="dxa"/>
                  <w:tcBorders>
                    <w:top w:val="single" w:color="auto" w:sz="12" w:space="0"/>
                    <w:bottom w:val="double" w:color="auto" w:sz="4" w:space="0"/>
                  </w:tcBorders>
                  <w:shd w:val="clear" w:color="auto" w:fill="auto"/>
                  <w:vAlign w:val="center"/>
                </w:tcPr>
                <w:p w14:paraId="6C7790A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拟设置情况</w:t>
                  </w:r>
                </w:p>
              </w:tc>
              <w:tc>
                <w:tcPr>
                  <w:tcW w:w="971" w:type="dxa"/>
                  <w:tcBorders>
                    <w:top w:val="single" w:color="auto" w:sz="12" w:space="0"/>
                    <w:bottom w:val="double" w:color="auto" w:sz="4" w:space="0"/>
                  </w:tcBorders>
                  <w:shd w:val="clear" w:color="auto" w:fill="auto"/>
                  <w:vAlign w:val="center"/>
                </w:tcPr>
                <w:p w14:paraId="04B5B3C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相符性</w:t>
                  </w:r>
                </w:p>
              </w:tc>
            </w:tr>
            <w:tr w14:paraId="089E2A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tcBorders>
                    <w:top w:val="double" w:color="auto" w:sz="4" w:space="0"/>
                  </w:tcBorders>
                  <w:shd w:val="clear" w:color="auto" w:fill="auto"/>
                  <w:vAlign w:val="center"/>
                </w:tcPr>
                <w:p w14:paraId="3C928D4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2750" w:type="dxa"/>
                  <w:tcBorders>
                    <w:top w:val="double" w:color="auto" w:sz="4" w:space="0"/>
                  </w:tcBorders>
                  <w:shd w:val="clear" w:color="auto" w:fill="auto"/>
                  <w:vAlign w:val="center"/>
                </w:tcPr>
                <w:p w14:paraId="1E5C454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应严格执行《危险废物贮存污染控制标准》（GB18597-2023）及修改单、《危险废物识别标志设置技术规范》（HJ 1276-2022）设置规范设置标志、配备通讯设备、照明设施和消防设施，设置气体导出口及气体净化装置</w:t>
                  </w:r>
                </w:p>
              </w:tc>
              <w:tc>
                <w:tcPr>
                  <w:tcW w:w="3994" w:type="dxa"/>
                  <w:tcBorders>
                    <w:top w:val="double" w:color="auto" w:sz="4" w:space="0"/>
                  </w:tcBorders>
                  <w:shd w:val="clear" w:color="auto" w:fill="auto"/>
                  <w:vAlign w:val="center"/>
                </w:tcPr>
                <w:p w14:paraId="772E4BB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将严格按照《危险废物贮存污染控制标准》（GB18597-2023）及修改单、《危险废物识别标志设置技术规范》（HJ 1276-2022）设置标志、采用立式固定方法将危险废物信息公开栏固定在厂区门口醒目的位置，其顶端距离地面200cm处，材料及尺寸：底板采用5mm铝板、底板120cm×80cm，严格按照规范设置公开内容；危废贮存设施内部分区规范设置警示标志牌：顶端距离地面200cm处，材料及尺寸：采用5mm铝板，不锈钢边框2cm压边，尺寸：75cm×45cm，三角形警示标志边长42cm，外檐2.5cm，并严格按照规范设置公开内容；规范设置包装识别标签，底色为醒目的桔黄色，文字样色为黑色，字体为黑体，尺寸：粘贴式标签20cm×20cm，系挂式标签10cm×10cm.危险废物贮存设施拟规范配备通讯设备、照明设施和消防设施。本期项目贮存的危险废物为</w:t>
                  </w:r>
                  <w:r>
                    <w:rPr>
                      <w:rFonts w:hint="eastAsia" w:cs="Times New Roman"/>
                      <w:color w:val="000000" w:themeColor="text1"/>
                      <w:sz w:val="18"/>
                      <w:szCs w:val="18"/>
                      <w:highlight w:val="none"/>
                      <w:lang w:val="en-US" w:eastAsia="zh-CN"/>
                      <w14:textFill>
                        <w14:solidFill>
                          <w14:schemeClr w14:val="tx1"/>
                        </w14:solidFill>
                      </w14:textFill>
                    </w:rPr>
                    <w:t>废离子交换树脂</w:t>
                  </w:r>
                  <w:r>
                    <w:rPr>
                      <w:rFonts w:hint="default" w:ascii="Times New Roman" w:hAnsi="Times New Roman" w:eastAsia="宋体" w:cs="Times New Roman"/>
                      <w:color w:val="000000" w:themeColor="text1"/>
                      <w:sz w:val="18"/>
                      <w:szCs w:val="18"/>
                      <w:highlight w:val="none"/>
                      <w14:textFill>
                        <w14:solidFill>
                          <w14:schemeClr w14:val="tx1"/>
                        </w14:solidFill>
                      </w14:textFill>
                    </w:rPr>
                    <w:t>，没有废气排放。</w:t>
                  </w:r>
                </w:p>
              </w:tc>
              <w:tc>
                <w:tcPr>
                  <w:tcW w:w="971" w:type="dxa"/>
                  <w:tcBorders>
                    <w:top w:val="double" w:color="auto" w:sz="4" w:space="0"/>
                  </w:tcBorders>
                  <w:shd w:val="clear" w:color="auto" w:fill="auto"/>
                  <w:vAlign w:val="center"/>
                </w:tcPr>
                <w:p w14:paraId="128C2AE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规范设置，符合规范要求</w:t>
                  </w:r>
                </w:p>
              </w:tc>
            </w:tr>
            <w:tr w14:paraId="2797AA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77D3AA9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2750" w:type="dxa"/>
                  <w:shd w:val="clear" w:color="auto" w:fill="auto"/>
                  <w:vAlign w:val="center"/>
                </w:tcPr>
                <w:p w14:paraId="3281B27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在出入口、设施内部、危险废物运输车辆通道等关键位置按照危险废物贮存设施视频监控布设要求设置视频监控，并与中控室联网</w:t>
                  </w:r>
                </w:p>
              </w:tc>
              <w:tc>
                <w:tcPr>
                  <w:tcW w:w="3994" w:type="dxa"/>
                  <w:shd w:val="clear" w:color="auto" w:fill="auto"/>
                  <w:vAlign w:val="center"/>
                </w:tcPr>
                <w:p w14:paraId="557982E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拟在出入口、设施内部、危险废物运输车辆通道等关键位置按照危险废物贮存设施视频监控布设要求设置视频监控，并与中控室联网。监控系统按《公共安全视频监控联网系统信息传输、交换、控制技术要求》（GB/T28181-2016）、《安全防范高清视频监控系统技术要求》（GA/T1211-2014）等标准设置，监控区域24小时须有足够的光源以保证画面清晰辨识，视频监控录像画面分辨率达到300万像素以上，监控视频保存时间至少3个月</w:t>
                  </w:r>
                </w:p>
              </w:tc>
              <w:tc>
                <w:tcPr>
                  <w:tcW w:w="971" w:type="dxa"/>
                  <w:shd w:val="clear" w:color="auto" w:fill="auto"/>
                  <w:vAlign w:val="center"/>
                </w:tcPr>
                <w:p w14:paraId="441E392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规范设置，符合规范要求</w:t>
                  </w:r>
                </w:p>
              </w:tc>
            </w:tr>
            <w:tr w14:paraId="059B7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0A5E406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2750" w:type="dxa"/>
                  <w:shd w:val="clear" w:color="auto" w:fill="auto"/>
                  <w:vAlign w:val="center"/>
                </w:tcPr>
                <w:p w14:paraId="3721ADA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根据危险废物的种类和特性进行分区、分类贮存，设置防雨、防火、防雷、防扬散、防渗漏装置及泄露液体收集装置</w:t>
                  </w:r>
                </w:p>
              </w:tc>
              <w:tc>
                <w:tcPr>
                  <w:tcW w:w="3994" w:type="dxa"/>
                  <w:shd w:val="clear" w:color="auto" w:fill="auto"/>
                  <w:vAlign w:val="center"/>
                </w:tcPr>
                <w:p w14:paraId="7F46905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本期项目涉及</w:t>
                  </w:r>
                  <w:r>
                    <w:rPr>
                      <w:rFonts w:hint="eastAsia" w:cs="Times New Roman"/>
                      <w:color w:val="000000" w:themeColor="text1"/>
                      <w:sz w:val="18"/>
                      <w:szCs w:val="18"/>
                      <w:highlight w:val="none"/>
                      <w:lang w:val="en-US" w:eastAsia="zh-CN"/>
                      <w14:textFill>
                        <w14:solidFill>
                          <w14:schemeClr w14:val="tx1"/>
                        </w14:solidFill>
                      </w14:textFill>
                    </w:rPr>
                    <w:t>废离子交换树脂</w:t>
                  </w:r>
                  <w:r>
                    <w:rPr>
                      <w:rFonts w:hint="default" w:ascii="Times New Roman" w:hAnsi="Times New Roman" w:eastAsia="宋体" w:cs="Times New Roman"/>
                      <w:color w:val="000000" w:themeColor="text1"/>
                      <w:sz w:val="18"/>
                      <w:szCs w:val="18"/>
                      <w:highlight w:val="none"/>
                      <w14:textFill>
                        <w14:solidFill>
                          <w14:schemeClr w14:val="tx1"/>
                        </w14:solidFill>
                      </w14:textFill>
                    </w:rPr>
                    <w:t>，废物类别为HW</w:t>
                  </w:r>
                  <w:r>
                    <w:rPr>
                      <w:rFonts w:hint="eastAsia" w:cs="Times New Roman"/>
                      <w:color w:val="000000" w:themeColor="text1"/>
                      <w:sz w:val="18"/>
                      <w:szCs w:val="18"/>
                      <w:highlight w:val="none"/>
                      <w:lang w:val="en-US" w:eastAsia="zh-CN"/>
                      <w14:textFill>
                        <w14:solidFill>
                          <w14:schemeClr w14:val="tx1"/>
                        </w14:solidFill>
                      </w14:textFill>
                    </w:rPr>
                    <w:t>13</w:t>
                  </w:r>
                  <w:r>
                    <w:rPr>
                      <w:rFonts w:hint="default" w:ascii="Times New Roman" w:hAnsi="Times New Roman" w:eastAsia="宋体" w:cs="Times New Roman"/>
                      <w:color w:val="000000" w:themeColor="text1"/>
                      <w:sz w:val="18"/>
                      <w:szCs w:val="18"/>
                      <w:highlight w:val="none"/>
                      <w14:textFill>
                        <w14:solidFill>
                          <w14:schemeClr w14:val="tx1"/>
                        </w14:solidFill>
                      </w14:textFill>
                    </w:rPr>
                    <w:t>，固态，采用吨袋收集。分区、分类贮存，危险废物贮存设施规范设施防雨、防火、防雷、防扬散、防渗漏装置及</w:t>
                  </w:r>
                </w:p>
              </w:tc>
              <w:tc>
                <w:tcPr>
                  <w:tcW w:w="971" w:type="dxa"/>
                  <w:shd w:val="clear" w:color="auto" w:fill="auto"/>
                  <w:vAlign w:val="center"/>
                </w:tcPr>
                <w:p w14:paraId="7A6AD3F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6C115B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4ABF721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4</w:t>
                  </w:r>
                </w:p>
              </w:tc>
              <w:tc>
                <w:tcPr>
                  <w:tcW w:w="2750" w:type="dxa"/>
                  <w:shd w:val="clear" w:color="auto" w:fill="auto"/>
                  <w:vAlign w:val="center"/>
                </w:tcPr>
                <w:p w14:paraId="49EC552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对易爆、易燃及排出有毒气体的危险废物进行预处理，稳定后贮存，否则按易爆、易燃危险品贮存</w:t>
                  </w:r>
                </w:p>
              </w:tc>
              <w:tc>
                <w:tcPr>
                  <w:tcW w:w="3994" w:type="dxa"/>
                  <w:shd w:val="clear" w:color="auto" w:fill="auto"/>
                  <w:vAlign w:val="center"/>
                </w:tcPr>
                <w:p w14:paraId="0C11AA8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本期项目不涉及易燃、易爆及排出有毒气体的危险废物</w:t>
                  </w:r>
                </w:p>
              </w:tc>
              <w:tc>
                <w:tcPr>
                  <w:tcW w:w="971" w:type="dxa"/>
                  <w:shd w:val="clear" w:color="auto" w:fill="auto"/>
                  <w:vAlign w:val="center"/>
                </w:tcPr>
                <w:p w14:paraId="122F6AD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31C8BA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66A800D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5</w:t>
                  </w:r>
                </w:p>
              </w:tc>
              <w:tc>
                <w:tcPr>
                  <w:tcW w:w="2750" w:type="dxa"/>
                  <w:shd w:val="clear" w:color="auto" w:fill="auto"/>
                  <w:vAlign w:val="center"/>
                </w:tcPr>
                <w:p w14:paraId="44C8517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贮存废弃剧毒化学品的，应按照公安机关要求落实治安防范措施</w:t>
                  </w:r>
                </w:p>
              </w:tc>
              <w:tc>
                <w:tcPr>
                  <w:tcW w:w="3994" w:type="dxa"/>
                  <w:shd w:val="clear" w:color="auto" w:fill="auto"/>
                  <w:vAlign w:val="center"/>
                </w:tcPr>
                <w:p w14:paraId="3516324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本期项目不涉及废弃剧毒化学品</w:t>
                  </w:r>
                </w:p>
              </w:tc>
              <w:tc>
                <w:tcPr>
                  <w:tcW w:w="971" w:type="dxa"/>
                  <w:shd w:val="clear" w:color="auto" w:fill="auto"/>
                  <w:vAlign w:val="center"/>
                </w:tcPr>
                <w:p w14:paraId="40C7C6A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7B92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330F1E9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6</w:t>
                  </w:r>
                </w:p>
              </w:tc>
              <w:tc>
                <w:tcPr>
                  <w:tcW w:w="2750" w:type="dxa"/>
                  <w:shd w:val="clear" w:color="auto" w:fill="auto"/>
                  <w:vAlign w:val="center"/>
                </w:tcPr>
                <w:p w14:paraId="28AA2AC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贮存设施周转的累积贮存量不得超过年许可经营能力的六分之一，贮存期限原则上不得超过一年</w:t>
                  </w:r>
                </w:p>
              </w:tc>
              <w:tc>
                <w:tcPr>
                  <w:tcW w:w="3994" w:type="dxa"/>
                  <w:shd w:val="clear" w:color="auto" w:fill="auto"/>
                  <w:vAlign w:val="center"/>
                </w:tcPr>
                <w:p w14:paraId="61CE93D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严格规范要求控制贮存量，贮存期限为3个月</w:t>
                  </w:r>
                </w:p>
              </w:tc>
              <w:tc>
                <w:tcPr>
                  <w:tcW w:w="971" w:type="dxa"/>
                  <w:shd w:val="clear" w:color="auto" w:fill="auto"/>
                  <w:vAlign w:val="center"/>
                </w:tcPr>
                <w:p w14:paraId="5D6C838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规范设置，符合规范要求</w:t>
                  </w:r>
                </w:p>
              </w:tc>
            </w:tr>
            <w:tr w14:paraId="47F5E6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379A607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7</w:t>
                  </w:r>
                </w:p>
              </w:tc>
              <w:tc>
                <w:tcPr>
                  <w:tcW w:w="2750" w:type="dxa"/>
                  <w:shd w:val="clear" w:color="auto" w:fill="auto"/>
                  <w:vAlign w:val="center"/>
                </w:tcPr>
                <w:p w14:paraId="182AA0C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在常温常压下易爆、易燃及排出有毒气体的危险废物必须进行预处理，使之稳定后贮存，否则，按易爆、易燃危险品贮存</w:t>
                  </w:r>
                </w:p>
              </w:tc>
              <w:tc>
                <w:tcPr>
                  <w:tcW w:w="3994" w:type="dxa"/>
                  <w:shd w:val="clear" w:color="auto" w:fill="auto"/>
                  <w:vAlign w:val="center"/>
                </w:tcPr>
                <w:p w14:paraId="4665AA5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本期项目不涉及易燃、易爆及排出有毒气体的危险废物</w:t>
                  </w:r>
                </w:p>
              </w:tc>
              <w:tc>
                <w:tcPr>
                  <w:tcW w:w="971" w:type="dxa"/>
                  <w:shd w:val="clear" w:color="auto" w:fill="auto"/>
                  <w:vAlign w:val="center"/>
                </w:tcPr>
                <w:p w14:paraId="6A148DE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13A631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637" w:type="dxa"/>
                  <w:shd w:val="clear" w:color="auto" w:fill="auto"/>
                  <w:vAlign w:val="center"/>
                </w:tcPr>
                <w:p w14:paraId="420C0BC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8</w:t>
                  </w:r>
                </w:p>
              </w:tc>
              <w:tc>
                <w:tcPr>
                  <w:tcW w:w="2750" w:type="dxa"/>
                  <w:shd w:val="clear" w:color="auto" w:fill="auto"/>
                  <w:vAlign w:val="center"/>
                </w:tcPr>
                <w:p w14:paraId="107E5A9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禁止将不相容（相互反应）的危险废物在同一容器内混装</w:t>
                  </w:r>
                </w:p>
              </w:tc>
              <w:tc>
                <w:tcPr>
                  <w:tcW w:w="3994" w:type="dxa"/>
                  <w:shd w:val="clear" w:color="auto" w:fill="auto"/>
                  <w:vAlign w:val="center"/>
                </w:tcPr>
                <w:p w14:paraId="68AAEAD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本期项目废</w:t>
                  </w:r>
                  <w:r>
                    <w:rPr>
                      <w:rFonts w:hint="eastAsia" w:cs="Times New Roman"/>
                      <w:color w:val="000000" w:themeColor="text1"/>
                      <w:sz w:val="18"/>
                      <w:szCs w:val="18"/>
                      <w:highlight w:val="none"/>
                      <w:lang w:val="en-US" w:eastAsia="zh-CN"/>
                      <w14:textFill>
                        <w14:solidFill>
                          <w14:schemeClr w14:val="tx1"/>
                        </w14:solidFill>
                      </w14:textFill>
                    </w:rPr>
                    <w:t>离子交换树脂</w:t>
                  </w:r>
                  <w:r>
                    <w:rPr>
                      <w:rFonts w:hint="default" w:ascii="Times New Roman" w:hAnsi="Times New Roman" w:eastAsia="宋体" w:cs="Times New Roman"/>
                      <w:color w:val="000000" w:themeColor="text1"/>
                      <w:sz w:val="18"/>
                      <w:szCs w:val="18"/>
                      <w:highlight w:val="none"/>
                      <w14:textFill>
                        <w14:solidFill>
                          <w14:schemeClr w14:val="tx1"/>
                        </w14:solidFill>
                      </w14:textFill>
                    </w:rPr>
                    <w:t>存放在吨袋内，不涉及不危险废物混装情形</w:t>
                  </w:r>
                </w:p>
              </w:tc>
              <w:tc>
                <w:tcPr>
                  <w:tcW w:w="971" w:type="dxa"/>
                  <w:shd w:val="clear" w:color="auto" w:fill="auto"/>
                  <w:vAlign w:val="center"/>
                </w:tcPr>
                <w:p w14:paraId="5C0CA38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规范贮存</w:t>
                  </w:r>
                </w:p>
              </w:tc>
            </w:tr>
            <w:tr w14:paraId="37D5B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2C3C12C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9</w:t>
                  </w:r>
                </w:p>
              </w:tc>
              <w:tc>
                <w:tcPr>
                  <w:tcW w:w="2750" w:type="dxa"/>
                  <w:shd w:val="clear" w:color="auto" w:fill="auto"/>
                  <w:vAlign w:val="center"/>
                </w:tcPr>
                <w:p w14:paraId="2AB45C9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盛装危险废物的容器上必须粘贴符合本标准附录A所示的表现，本标准指《危险废物贮存污染控制标准》</w:t>
                  </w:r>
                </w:p>
              </w:tc>
              <w:tc>
                <w:tcPr>
                  <w:tcW w:w="3994" w:type="dxa"/>
                  <w:shd w:val="clear" w:color="auto" w:fill="auto"/>
                  <w:vAlign w:val="center"/>
                </w:tcPr>
                <w:p w14:paraId="12A90BC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标明危险废物主要成分、化学名称、危险情况、安全措施、废物产生单位、地址、电话、联系人等；字体为黑体字，底色为醒目的桔黄色</w:t>
                  </w:r>
                </w:p>
              </w:tc>
              <w:tc>
                <w:tcPr>
                  <w:tcW w:w="971" w:type="dxa"/>
                  <w:shd w:val="clear" w:color="auto" w:fill="auto"/>
                  <w:vAlign w:val="center"/>
                </w:tcPr>
                <w:p w14:paraId="4C9FD66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规范贮存，符合规范要求</w:t>
                  </w:r>
                </w:p>
              </w:tc>
            </w:tr>
            <w:tr w14:paraId="651F91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4E0FEC4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10</w:t>
                  </w:r>
                </w:p>
              </w:tc>
              <w:tc>
                <w:tcPr>
                  <w:tcW w:w="2750" w:type="dxa"/>
                  <w:shd w:val="clear" w:color="auto" w:fill="auto"/>
                  <w:vAlign w:val="center"/>
                </w:tcPr>
                <w:p w14:paraId="3C51526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盛装危险废物的容器材质和衬里要与危险废物相容（不相互反应）</w:t>
                  </w:r>
                </w:p>
              </w:tc>
              <w:tc>
                <w:tcPr>
                  <w:tcW w:w="3994" w:type="dxa"/>
                  <w:shd w:val="clear" w:color="auto" w:fill="auto"/>
                  <w:vAlign w:val="center"/>
                </w:tcPr>
                <w:p w14:paraId="139AF18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w:t>
                  </w:r>
                  <w:r>
                    <w:rPr>
                      <w:rFonts w:hint="eastAsia" w:cs="Times New Roman"/>
                      <w:color w:val="000000" w:themeColor="text1"/>
                      <w:sz w:val="18"/>
                      <w:szCs w:val="18"/>
                      <w:highlight w:val="none"/>
                      <w:lang w:val="en-US" w:eastAsia="zh-CN"/>
                      <w14:textFill>
                        <w14:solidFill>
                          <w14:schemeClr w14:val="tx1"/>
                        </w14:solidFill>
                      </w14:textFill>
                    </w:rPr>
                    <w:t>废离子交换树脂</w:t>
                  </w:r>
                  <w:r>
                    <w:rPr>
                      <w:rFonts w:hint="default" w:ascii="Times New Roman" w:hAnsi="Times New Roman" w:eastAsia="宋体" w:cs="Times New Roman"/>
                      <w:color w:val="000000" w:themeColor="text1"/>
                      <w:sz w:val="18"/>
                      <w:szCs w:val="18"/>
                      <w:highlight w:val="none"/>
                      <w14:textFill>
                        <w14:solidFill>
                          <w14:schemeClr w14:val="tx1"/>
                        </w14:solidFill>
                      </w14:textFill>
                    </w:rPr>
                    <w:t>采用</w:t>
                  </w:r>
                  <w:r>
                    <w:rPr>
                      <w:rFonts w:hint="eastAsia" w:cs="Times New Roman"/>
                      <w:color w:val="000000" w:themeColor="text1"/>
                      <w:sz w:val="18"/>
                      <w:szCs w:val="18"/>
                      <w:highlight w:val="none"/>
                      <w:lang w:val="en-US" w:eastAsia="zh-CN"/>
                      <w14:textFill>
                        <w14:solidFill>
                          <w14:schemeClr w14:val="tx1"/>
                        </w14:solidFill>
                      </w14:textFill>
                    </w:rPr>
                    <w:t>袋装</w:t>
                  </w:r>
                  <w:r>
                    <w:rPr>
                      <w:rFonts w:hint="default" w:ascii="Times New Roman" w:hAnsi="Times New Roman" w:eastAsia="宋体" w:cs="Times New Roman"/>
                      <w:color w:val="000000" w:themeColor="text1"/>
                      <w:sz w:val="18"/>
                      <w:szCs w:val="18"/>
                      <w:highlight w:val="none"/>
                      <w14:textFill>
                        <w14:solidFill>
                          <w14:schemeClr w14:val="tx1"/>
                        </w14:solidFill>
                      </w14:textFill>
                    </w:rPr>
                    <w:t>，与盛装危险废物的容器材质和衬里要与危险废物相容（不相互反应）</w:t>
                  </w:r>
                </w:p>
              </w:tc>
              <w:tc>
                <w:tcPr>
                  <w:tcW w:w="971" w:type="dxa"/>
                  <w:shd w:val="clear" w:color="auto" w:fill="auto"/>
                  <w:vAlign w:val="center"/>
                </w:tcPr>
                <w:p w14:paraId="34102FB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6933F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59BD9B4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11</w:t>
                  </w:r>
                </w:p>
              </w:tc>
              <w:tc>
                <w:tcPr>
                  <w:tcW w:w="2750" w:type="dxa"/>
                  <w:shd w:val="clear" w:color="auto" w:fill="auto"/>
                  <w:vAlign w:val="center"/>
                </w:tcPr>
                <w:p w14:paraId="1C47FBB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应在易燃、易爆等危险品仓库、高压输电线保护区域以外</w:t>
                  </w:r>
                </w:p>
              </w:tc>
              <w:tc>
                <w:tcPr>
                  <w:tcW w:w="3994" w:type="dxa"/>
                  <w:shd w:val="clear" w:color="auto" w:fill="auto"/>
                  <w:vAlign w:val="center"/>
                </w:tcPr>
                <w:p w14:paraId="63325E3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该厂区内不涉及易燃、易爆等危险品仓库、高压输电线路，故不在这些防护区域范围内</w:t>
                  </w:r>
                </w:p>
              </w:tc>
              <w:tc>
                <w:tcPr>
                  <w:tcW w:w="971" w:type="dxa"/>
                  <w:shd w:val="clear" w:color="auto" w:fill="auto"/>
                  <w:vAlign w:val="center"/>
                </w:tcPr>
                <w:p w14:paraId="7FDA95D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r w14:paraId="41D6DA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518C48A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12</w:t>
                  </w:r>
                </w:p>
              </w:tc>
              <w:tc>
                <w:tcPr>
                  <w:tcW w:w="2750" w:type="dxa"/>
                  <w:shd w:val="clear" w:color="auto" w:fill="auto"/>
                  <w:vAlign w:val="center"/>
                </w:tcPr>
                <w:p w14:paraId="71C1B65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危险废物贮存设施（仓库式）的设计原则</w:t>
                  </w:r>
                </w:p>
              </w:tc>
              <w:tc>
                <w:tcPr>
                  <w:tcW w:w="3994" w:type="dxa"/>
                  <w:shd w:val="clear" w:color="auto" w:fill="auto"/>
                  <w:vAlign w:val="center"/>
                </w:tcPr>
                <w:p w14:paraId="7B1ACAE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本期项目危废仓库地面与裙角要用坚固、防渗的材料建造（涂刷防腐、防渗涂料），渗透系数≤10</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-10</w:t>
                  </w:r>
                  <w:r>
                    <w:rPr>
                      <w:rFonts w:hint="default" w:ascii="Times New Roman" w:hAnsi="Times New Roman" w:eastAsia="宋体" w:cs="Times New Roman"/>
                      <w:color w:val="000000" w:themeColor="text1"/>
                      <w:sz w:val="18"/>
                      <w:szCs w:val="18"/>
                      <w:highlight w:val="none"/>
                      <w14:textFill>
                        <w14:solidFill>
                          <w14:schemeClr w14:val="tx1"/>
                        </w14:solidFill>
                      </w14:textFill>
                    </w:rPr>
                    <w:t>cm/s；设置液体收集装置，仓库内设有安全照明设施和观察窗口</w:t>
                  </w:r>
                </w:p>
              </w:tc>
              <w:tc>
                <w:tcPr>
                  <w:tcW w:w="971" w:type="dxa"/>
                  <w:shd w:val="clear" w:color="auto" w:fill="auto"/>
                  <w:vAlign w:val="center"/>
                </w:tcPr>
                <w:p w14:paraId="1531EB1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规范贮存，符合规范要求</w:t>
                  </w:r>
                </w:p>
              </w:tc>
            </w:tr>
            <w:tr w14:paraId="078162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shd w:val="clear" w:color="auto" w:fill="auto"/>
                  <w:vAlign w:val="center"/>
                </w:tcPr>
                <w:p w14:paraId="5C1097EF">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13</w:t>
                  </w:r>
                </w:p>
              </w:tc>
              <w:tc>
                <w:tcPr>
                  <w:tcW w:w="2750" w:type="dxa"/>
                  <w:shd w:val="clear" w:color="auto" w:fill="auto"/>
                  <w:vAlign w:val="center"/>
                </w:tcPr>
                <w:p w14:paraId="23A505F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危险废物堆放要防风、风雨、防晒</w:t>
                  </w:r>
                </w:p>
              </w:tc>
              <w:tc>
                <w:tcPr>
                  <w:tcW w:w="3994" w:type="dxa"/>
                  <w:shd w:val="clear" w:color="auto" w:fill="auto"/>
                  <w:vAlign w:val="center"/>
                </w:tcPr>
                <w:p w14:paraId="6A31AE2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危废仓库单独设立，堆放处做到防风、风雨、防晒</w:t>
                  </w:r>
                </w:p>
              </w:tc>
              <w:tc>
                <w:tcPr>
                  <w:tcW w:w="971" w:type="dxa"/>
                  <w:shd w:val="clear" w:color="auto" w:fill="auto"/>
                  <w:vAlign w:val="center"/>
                </w:tcPr>
                <w:p w14:paraId="5DA06D1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r>
          </w:tbl>
          <w:p w14:paraId="43BE81C7">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本期项目严格按照以上规范设置危险废物贮存设施，不会对周围环境产生影响。</w:t>
            </w:r>
          </w:p>
          <w:p w14:paraId="3EFDE986">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4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④</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综合利用、处理、处置的环境影响分析</w:t>
            </w:r>
          </w:p>
          <w:p w14:paraId="78D7025B">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1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a</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、一般工业固废综合利用、处理、处置的环境影响分析</w:t>
            </w:r>
          </w:p>
          <w:p w14:paraId="6F0449EA">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本期项目生产过程中产生的</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废滤芯、</w:t>
            </w:r>
            <w:r>
              <w:rPr>
                <w:rFonts w:hint="eastAsia" w:cs="Times New Roman"/>
                <w:color w:val="000000" w:themeColor="text1"/>
                <w:sz w:val="21"/>
                <w:szCs w:val="21"/>
                <w:highlight w:val="none"/>
                <w:lang w:val="en-US" w:eastAsia="zh-CN"/>
                <w14:textFill>
                  <w14:solidFill>
                    <w14:schemeClr w14:val="tx1"/>
                  </w14:solidFill>
                </w14:textFill>
              </w:rPr>
              <w:t>超滤及反渗透膜</w:t>
            </w:r>
            <w:r>
              <w:rPr>
                <w:rFonts w:hint="default" w:ascii="Times New Roman" w:hAnsi="Times New Roman" w:eastAsia="宋体" w:cs="Times New Roman"/>
                <w:color w:val="000000" w:themeColor="text1"/>
                <w:szCs w:val="21"/>
                <w:highlight w:val="none"/>
                <w14:textFill>
                  <w14:solidFill>
                    <w14:schemeClr w14:val="tx1"/>
                  </w14:solidFill>
                </w14:textFill>
              </w:rPr>
              <w:t>收集后</w:t>
            </w:r>
            <w:r>
              <w:rPr>
                <w:rFonts w:hint="eastAsia" w:cs="Times New Roman"/>
                <w:color w:val="000000" w:themeColor="text1"/>
                <w:szCs w:val="21"/>
                <w:highlight w:val="none"/>
                <w:lang w:val="en-US" w:eastAsia="zh-CN"/>
                <w14:textFill>
                  <w14:solidFill>
                    <w14:schemeClr w14:val="tx1"/>
                  </w14:solidFill>
                </w14:textFill>
              </w:rPr>
              <w:t>即产即清，委外处理</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无需在厂内储存。</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污泥</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作为本厂区的绿化用泥综合利用</w:t>
            </w:r>
            <w:r>
              <w:rPr>
                <w:rFonts w:hint="default" w:ascii="Times New Roman" w:hAnsi="Times New Roman" w:eastAsia="宋体" w:cs="Times New Roman"/>
                <w:color w:val="000000" w:themeColor="text1"/>
                <w:szCs w:val="21"/>
                <w:highlight w:val="none"/>
                <w14:textFill>
                  <w14:solidFill>
                    <w14:schemeClr w14:val="tx1"/>
                  </w14:solidFill>
                </w14:textFill>
              </w:rPr>
              <w:t>。本期项目一般工业固废综合利用、处理、处置符合固体废物资源化原则，其利用处置方式可行。</w:t>
            </w:r>
          </w:p>
          <w:p w14:paraId="79C99D95">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2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b</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、危险废物处理、处置的环境影响分析</w:t>
            </w:r>
          </w:p>
          <w:p w14:paraId="14431BAF">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本期项目产生的</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废离子交换树脂</w:t>
            </w:r>
            <w:r>
              <w:rPr>
                <w:rFonts w:hint="default" w:ascii="Times New Roman" w:hAnsi="Times New Roman" w:eastAsia="宋体" w:cs="Times New Roman"/>
                <w:color w:val="000000" w:themeColor="text1"/>
                <w:szCs w:val="21"/>
                <w:highlight w:val="none"/>
                <w14:textFill>
                  <w14:solidFill>
                    <w14:schemeClr w14:val="tx1"/>
                  </w14:solidFill>
                </w14:textFill>
              </w:rPr>
              <w:t>委托有资质单位处置。危险废物运输单位必须具有危险废物的运输能力。运输单位采取有效措施，杜绝运输途中事故的发生；固体废物全部处置、处理或者综合利用，并按固废管理要求办理相应的转运手续。</w:t>
            </w:r>
          </w:p>
          <w:p w14:paraId="42267BD2">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危险废物严格采取以上处理处置措施后，危险废物能得到有效处置，对环境影响较小，其处理具有可行性。</w:t>
            </w:r>
          </w:p>
          <w:p w14:paraId="3E9C71F0">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3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c</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、生活垃圾处理、处置的环境影响分析</w:t>
            </w:r>
          </w:p>
          <w:p w14:paraId="38A73F46">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本期项目产生的生活垃圾由环卫部门统一清运，对周围环境影响较小，其利用处置方式可行。</w:t>
            </w:r>
          </w:p>
          <w:p w14:paraId="7E3C7054">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5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⑤</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危险废物规范化管理</w:t>
            </w:r>
          </w:p>
          <w:p w14:paraId="77190430">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建设单位须按照《危险废物规范化管理指标体系》（环办[2015]99号）进行危险废物规范化管理，主要包括危险废物识别标志设置情况，危险废物管理计划制定情况，危险废物申报登记、转移联单、经营许可、应急预案备案等管理制度执行情况，贮存、利用、处置危险废物是否符合相关标准规范等情况等。建设单位应当建立、健全污染环境防治责任制度，采取防治危险废物贮存台账，如实记录废物名称、种类、数量、来源、出入库时间、去向、交接人签字等内容，按规定在江苏省危险废物动态管理系统进行申报。</w:t>
            </w:r>
          </w:p>
          <w:p w14:paraId="1EE07920">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6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⑥</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危险废物运输污染防治措施分析</w:t>
            </w:r>
          </w:p>
          <w:p w14:paraId="5975FC47">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1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a</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本期项目危险废物必须及时运送至危险废物处置单位进行处置，运输过程必须符合国家及江苏省对危险废物的运输要求。应由固废接收单位的专用车进行运输，须填写危废转移单，要注意危险废物安全单独运输，固废的包装容器要注意密闭，以免在运输途中发生泄漏，从而危害环境。</w:t>
            </w:r>
          </w:p>
          <w:p w14:paraId="12D869DF">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2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b</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本期项目在危险废物转移的过程中严格执行《危险废物转移管理办法》，危险废物转移应当通过国家危险废物信息管理系统填写、运行危险废物电子转移联单，并依照国家有关规定公开危险废物转移相关污染环境防治信息。</w:t>
            </w:r>
          </w:p>
          <w:p w14:paraId="70ED06BC">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3 \* alphabetic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c</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、清运车辆（包括机动车辆和非机动车辆）运输垃圾应符合下列质量要求：（</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1 \* roman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i</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）车容应整洁，车体外部无污物、灰垢，标志应清晰。（</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2 \* roman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ii</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）运输垃圾应密闭，在运输过程中无垃圾扬、撒、拖挂和污水滴漏。（</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3 \* roman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iii</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）垃圾装运量应以车辆的额定荷载和有效容积为限，不得超重、超高运输。（</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4 \* roman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iv</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）装卸垃圾应符合作业要求，不得乱倒、乱卸、乱抛垃圾。（</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5 \* roman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v</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）运输作业结束，应将车辆清洗干净。</w:t>
            </w:r>
          </w:p>
          <w:p w14:paraId="373122AB">
            <w:pPr>
              <w:spacing w:line="400" w:lineRule="exact"/>
              <w:ind w:firstLine="422" w:firstLineChars="200"/>
              <w:rPr>
                <w:rFonts w:hint="default" w:ascii="Times New Roman" w:hAnsi="Times New Roman" w:eastAsia="宋体" w:cs="Times New Roman"/>
                <w:b/>
                <w:color w:val="000000" w:themeColor="text1"/>
                <w:szCs w:val="21"/>
                <w:highlight w:val="none"/>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5、地下水和土壤环境影响分析</w:t>
            </w:r>
          </w:p>
          <w:p w14:paraId="5F8BA58E">
            <w:pPr>
              <w:autoSpaceDE w:val="0"/>
              <w:autoSpaceDN w:val="0"/>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本期项目主要为</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燃气</w:t>
            </w:r>
            <w:r>
              <w:rPr>
                <w:rFonts w:hint="default" w:ascii="Times New Roman" w:hAnsi="Times New Roman" w:eastAsia="宋体" w:cs="Times New Roman"/>
                <w:color w:val="000000" w:themeColor="text1"/>
                <w:szCs w:val="21"/>
                <w:highlight w:val="none"/>
                <w14:textFill>
                  <w14:solidFill>
                    <w14:schemeClr w14:val="tx1"/>
                  </w14:solidFill>
                </w14:textFill>
              </w:rPr>
              <w:t>锅炉</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Cs w:val="21"/>
                <w:highlight w:val="none"/>
                <w14:textFill>
                  <w14:solidFill>
                    <w14:schemeClr w14:val="tx1"/>
                  </w14:solidFill>
                </w14:textFill>
              </w:rPr>
              <w:t>项目，厂房内地面均为硬化地面，</w:t>
            </w:r>
            <w:r>
              <w:rPr>
                <w:rFonts w:hint="eastAsia" w:cs="Times New Roman"/>
                <w:color w:val="000000" w:themeColor="text1"/>
                <w:szCs w:val="21"/>
                <w:highlight w:val="none"/>
                <w:lang w:val="en-US" w:eastAsia="zh-CN"/>
                <w14:textFill>
                  <w14:solidFill>
                    <w14:schemeClr w14:val="tx1"/>
                  </w14:solidFill>
                </w14:textFill>
              </w:rPr>
              <w:t>危废</w:t>
            </w:r>
            <w:r>
              <w:rPr>
                <w:rFonts w:hint="default" w:ascii="Times New Roman" w:hAnsi="Times New Roman" w:eastAsia="宋体" w:cs="Times New Roman"/>
                <w:color w:val="000000" w:themeColor="text1"/>
                <w:szCs w:val="21"/>
                <w:highlight w:val="none"/>
                <w14:textFill>
                  <w14:solidFill>
                    <w14:schemeClr w14:val="tx1"/>
                  </w14:solidFill>
                </w14:textFill>
              </w:rPr>
              <w:t>仓库设置环氧地坪。生产过程中无液态物料使用。本项目原料不露天堆放，生产废水</w:t>
            </w:r>
            <w:r>
              <w:rPr>
                <w:rFonts w:hint="eastAsia" w:cs="Times New Roman"/>
                <w:color w:val="000000" w:themeColor="text1"/>
                <w:szCs w:val="21"/>
                <w:highlight w:val="none"/>
                <w:lang w:val="en-US" w:eastAsia="zh-CN"/>
                <w14:textFill>
                  <w14:solidFill>
                    <w14:schemeClr w14:val="tx1"/>
                  </w14:solidFill>
                </w14:textFill>
              </w:rPr>
              <w:t>达标后接管排放</w:t>
            </w:r>
            <w:r>
              <w:rPr>
                <w:rFonts w:hint="default" w:ascii="Times New Roman" w:hAnsi="Times New Roman" w:eastAsia="宋体" w:cs="Times New Roman"/>
                <w:color w:val="000000" w:themeColor="text1"/>
                <w:szCs w:val="21"/>
                <w:highlight w:val="none"/>
                <w14:textFill>
                  <w14:solidFill>
                    <w14:schemeClr w14:val="tx1"/>
                  </w14:solidFill>
                </w14:textFill>
              </w:rPr>
              <w:t>，固废污染物均得到合理合规处置，项目建成后基本不存在土壤及地下水污染途径。</w:t>
            </w:r>
          </w:p>
          <w:p w14:paraId="05FDDB34">
            <w:pPr>
              <w:adjustRightInd w:val="0"/>
              <w:snapToGrid w:val="0"/>
              <w:spacing w:line="44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为了最大限度降低生产过程中有毒有害物料的跑冒滴漏，防止地下水及土壤污染，本项目根据《环境影响评价技术导则-地下水环境》（HJ610-2016）相关地下水分区防渗要求，设置防渗分区，具体见下表。</w:t>
            </w:r>
          </w:p>
          <w:p w14:paraId="524C0107">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604C3C22">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789EAF31">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01B2D500">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4912D990">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p>
          <w:p w14:paraId="29494F41">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cs="Times New Roman"/>
                <w:color w:val="000000" w:themeColor="text1"/>
                <w:szCs w:val="21"/>
                <w:highlight w:val="none"/>
                <w:lang w:val="en-US" w:eastAsia="zh-CN"/>
                <w14:textFill>
                  <w14:solidFill>
                    <w14:schemeClr w14:val="tx1"/>
                  </w14:solidFill>
                </w14:textFill>
              </w:rPr>
              <w:t>-19</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本期项目地下水污染防治分区划分情况</w:t>
            </w:r>
          </w:p>
          <w:tbl>
            <w:tblPr>
              <w:tblStyle w:val="3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540"/>
              <w:gridCol w:w="1467"/>
              <w:gridCol w:w="3045"/>
            </w:tblGrid>
            <w:tr w14:paraId="240B22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18" w:type="dxa"/>
                  <w:tcBorders>
                    <w:top w:val="single" w:color="auto" w:sz="12" w:space="0"/>
                    <w:bottom w:val="double" w:color="auto" w:sz="4" w:space="0"/>
                  </w:tcBorders>
                  <w:vAlign w:val="center"/>
                </w:tcPr>
                <w:p w14:paraId="04A13A8C">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防渗分区</w:t>
                  </w:r>
                </w:p>
              </w:tc>
              <w:tc>
                <w:tcPr>
                  <w:tcW w:w="2540" w:type="dxa"/>
                  <w:tcBorders>
                    <w:top w:val="single" w:color="auto" w:sz="12" w:space="0"/>
                    <w:bottom w:val="double" w:color="auto" w:sz="4" w:space="0"/>
                  </w:tcBorders>
                  <w:vAlign w:val="center"/>
                </w:tcPr>
                <w:p w14:paraId="2DE79B83">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定义</w:t>
                  </w:r>
                </w:p>
              </w:tc>
              <w:tc>
                <w:tcPr>
                  <w:tcW w:w="1467" w:type="dxa"/>
                  <w:tcBorders>
                    <w:top w:val="single" w:color="auto" w:sz="12" w:space="0"/>
                    <w:bottom w:val="double" w:color="auto" w:sz="4" w:space="0"/>
                  </w:tcBorders>
                  <w:vAlign w:val="center"/>
                </w:tcPr>
                <w:p w14:paraId="65E81D9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厂内分区</w:t>
                  </w:r>
                </w:p>
              </w:tc>
              <w:tc>
                <w:tcPr>
                  <w:tcW w:w="3045" w:type="dxa"/>
                  <w:tcBorders>
                    <w:top w:val="single" w:color="auto" w:sz="12" w:space="0"/>
                    <w:bottom w:val="double" w:color="auto" w:sz="4" w:space="0"/>
                  </w:tcBorders>
                  <w:vAlign w:val="center"/>
                </w:tcPr>
                <w:p w14:paraId="1A1DA87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防渗等级</w:t>
                  </w:r>
                </w:p>
              </w:tc>
            </w:tr>
            <w:tr w14:paraId="71A72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18" w:type="dxa"/>
                  <w:tcBorders>
                    <w:top w:val="double" w:color="auto" w:sz="4" w:space="0"/>
                  </w:tcBorders>
                  <w:vAlign w:val="center"/>
                </w:tcPr>
                <w:p w14:paraId="634D8B1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重点防渗区</w:t>
                  </w:r>
                </w:p>
              </w:tc>
              <w:tc>
                <w:tcPr>
                  <w:tcW w:w="2540" w:type="dxa"/>
                  <w:tcBorders>
                    <w:top w:val="double" w:color="auto" w:sz="4" w:space="0"/>
                  </w:tcBorders>
                  <w:vAlign w:val="center"/>
                </w:tcPr>
                <w:p w14:paraId="1E9DA2A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危害性大、毒性较大的危化品库、危险固废暂存区等</w:t>
                  </w:r>
                </w:p>
              </w:tc>
              <w:tc>
                <w:tcPr>
                  <w:tcW w:w="1467" w:type="dxa"/>
                  <w:tcBorders>
                    <w:top w:val="double" w:color="auto" w:sz="4" w:space="0"/>
                  </w:tcBorders>
                  <w:vAlign w:val="center"/>
                </w:tcPr>
                <w:p w14:paraId="59C58789">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危废仓库</w:t>
                  </w:r>
                </w:p>
              </w:tc>
              <w:tc>
                <w:tcPr>
                  <w:tcW w:w="3045" w:type="dxa"/>
                  <w:tcBorders>
                    <w:top w:val="double" w:color="auto" w:sz="4" w:space="0"/>
                  </w:tcBorders>
                  <w:vAlign w:val="center"/>
                </w:tcPr>
                <w:p w14:paraId="76E6ED5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执行《危险废物贮存污染控制标准》（GB18597-2023）要求，渗透系数≤1.0×10</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-10</w:t>
                  </w:r>
                  <w:r>
                    <w:rPr>
                      <w:rFonts w:hint="default" w:ascii="Times New Roman" w:hAnsi="Times New Roman" w:eastAsia="宋体" w:cs="Times New Roman"/>
                      <w:color w:val="000000" w:themeColor="text1"/>
                      <w:sz w:val="18"/>
                      <w:szCs w:val="18"/>
                      <w:highlight w:val="none"/>
                      <w14:textFill>
                        <w14:solidFill>
                          <w14:schemeClr w14:val="tx1"/>
                        </w14:solidFill>
                      </w14:textFill>
                    </w:rPr>
                    <w:t>cm/s</w:t>
                  </w:r>
                </w:p>
              </w:tc>
            </w:tr>
            <w:tr w14:paraId="26ABF8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18" w:type="dxa"/>
                  <w:vAlign w:val="center"/>
                </w:tcPr>
                <w:p w14:paraId="2D2B633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一般防渗区</w:t>
                  </w:r>
                </w:p>
              </w:tc>
              <w:tc>
                <w:tcPr>
                  <w:tcW w:w="2540" w:type="dxa"/>
                  <w:vAlign w:val="center"/>
                </w:tcPr>
                <w:p w14:paraId="3F3EFAF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无毒性或毒性小的生产装置区、装置区外管廊区</w:t>
                  </w:r>
                </w:p>
              </w:tc>
              <w:tc>
                <w:tcPr>
                  <w:tcW w:w="1467" w:type="dxa"/>
                  <w:vAlign w:val="center"/>
                </w:tcPr>
                <w:p w14:paraId="00FF510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生产装置区</w:t>
                  </w:r>
                </w:p>
              </w:tc>
              <w:tc>
                <w:tcPr>
                  <w:tcW w:w="3045" w:type="dxa"/>
                  <w:vAlign w:val="center"/>
                </w:tcPr>
                <w:p w14:paraId="6C62475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执行《一般工业固体废物贮存和填埋污染控制标准》（GB18599-2020）要求，渗透系数≤10</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-7</w:t>
                  </w:r>
                  <w:r>
                    <w:rPr>
                      <w:rFonts w:hint="default" w:ascii="Times New Roman" w:hAnsi="Times New Roman" w:eastAsia="宋体" w:cs="Times New Roman"/>
                      <w:color w:val="000000" w:themeColor="text1"/>
                      <w:sz w:val="18"/>
                      <w:szCs w:val="18"/>
                      <w:highlight w:val="none"/>
                      <w14:textFill>
                        <w14:solidFill>
                          <w14:schemeClr w14:val="tx1"/>
                        </w14:solidFill>
                      </w14:textFill>
                    </w:rPr>
                    <w:t>cm/s</w:t>
                  </w:r>
                </w:p>
              </w:tc>
            </w:tr>
            <w:tr w14:paraId="36D36E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18" w:type="dxa"/>
                  <w:vAlign w:val="center"/>
                </w:tcPr>
                <w:p w14:paraId="52BBF99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简单防渗区</w:t>
                  </w:r>
                </w:p>
              </w:tc>
              <w:tc>
                <w:tcPr>
                  <w:tcW w:w="2540" w:type="dxa"/>
                  <w:vAlign w:val="center"/>
                </w:tcPr>
                <w:p w14:paraId="2C439EE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除污染区的其他区域</w:t>
                  </w:r>
                </w:p>
              </w:tc>
              <w:tc>
                <w:tcPr>
                  <w:tcW w:w="1467" w:type="dxa"/>
                  <w:vAlign w:val="center"/>
                </w:tcPr>
                <w:p w14:paraId="0661F66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办公区</w:t>
                  </w:r>
                </w:p>
              </w:tc>
              <w:tc>
                <w:tcPr>
                  <w:tcW w:w="3045" w:type="dxa"/>
                  <w:vAlign w:val="center"/>
                </w:tcPr>
                <w:p w14:paraId="752B150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一般硬化</w:t>
                  </w:r>
                </w:p>
              </w:tc>
            </w:tr>
          </w:tbl>
          <w:p w14:paraId="2C849650">
            <w:pPr>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综上，本项目采取的事故防范措施在正确贯彻执行的情况下，对所在区域地下水、土壤环境质量影响较小，不会改变区域地下水、土壤功能现状。</w:t>
            </w:r>
          </w:p>
          <w:p w14:paraId="4C8D32D5">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6、生态环境影响分析</w:t>
            </w:r>
          </w:p>
          <w:p w14:paraId="25CD49C7">
            <w:pPr>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对照《建设项目环境影响报告表编制技术指南》（污染影响类）（试行），本期项目位于苏州市</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szCs w:val="21"/>
                <w:highlight w:val="none"/>
                <w14:textFill>
                  <w14:solidFill>
                    <w14:schemeClr w14:val="tx1"/>
                  </w14:solidFill>
                </w14:textFill>
              </w:rPr>
              <w:t>，属于</w:t>
            </w:r>
            <w:r>
              <w:rPr>
                <w:rFonts w:hint="default" w:ascii="Times New Roman" w:hAnsi="Times New Roman" w:eastAsia="宋体" w:cs="Times New Roman"/>
                <w:color w:val="000000" w:themeColor="text1"/>
                <w:kern w:val="0"/>
                <w:szCs w:val="21"/>
                <w:highlight w:val="none"/>
                <w14:textFill>
                  <w14:solidFill>
                    <w14:schemeClr w14:val="tx1"/>
                  </w14:solidFill>
                </w14:textFill>
              </w:rPr>
              <w:t>华电工业集聚区</w:t>
            </w:r>
            <w:r>
              <w:rPr>
                <w:rFonts w:hint="default" w:ascii="Times New Roman" w:hAnsi="Times New Roman" w:eastAsia="宋体" w:cs="Times New Roman"/>
                <w:color w:val="000000" w:themeColor="text1"/>
                <w:szCs w:val="21"/>
                <w:highlight w:val="none"/>
                <w14:textFill>
                  <w14:solidFill>
                    <w14:schemeClr w14:val="tx1"/>
                  </w14:solidFill>
                </w14:textFill>
              </w:rPr>
              <w:t>，用地范围内无生态环境保护目标，因此不需要对生态环境进行评价。</w:t>
            </w:r>
          </w:p>
          <w:p w14:paraId="7BC0C466">
            <w:pPr>
              <w:adjustRightInd w:val="0"/>
              <w:snapToGrid w:val="0"/>
              <w:spacing w:line="48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7、环境风险影响分析</w:t>
            </w:r>
          </w:p>
          <w:p w14:paraId="2404BE38">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（1）物质风险识别</w:t>
            </w:r>
          </w:p>
          <w:p w14:paraId="73B2980C">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①物质风险识别</w:t>
            </w:r>
          </w:p>
          <w:p w14:paraId="6B4D4A85">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按照《建设项目环境风险评价技术导则》（HJ169-2018）和《环境风险评价实用技术和方法》规定，风险评价首先要评价有害物质，确定项目中哪些物质应进行危险性评价以及毒物危害程度的分级。根据“导则”和“方法”规定，项目风险物质风险识别结果见下表。</w:t>
            </w:r>
          </w:p>
          <w:p w14:paraId="05292C8E">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fldChar w:fldCharType="begin"/>
            </w:r>
            <w:r>
              <w:rPr>
                <w:rFonts w:hint="default" w:ascii="Times New Roman" w:hAnsi="Times New Roman" w:eastAsia="宋体" w:cs="Times New Roman"/>
                <w:color w:val="000000" w:themeColor="text1"/>
                <w:szCs w:val="21"/>
                <w:highlight w:val="none"/>
                <w14:textFill>
                  <w14:solidFill>
                    <w14:schemeClr w14:val="tx1"/>
                  </w14:solidFill>
                </w14:textFill>
              </w:rPr>
              <w:instrText xml:space="preserve"> = 2 \* GB3 </w:instrTex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②</w:t>
            </w:r>
            <w:r>
              <w:rPr>
                <w:rFonts w:hint="default" w:ascii="Times New Roman" w:hAnsi="Times New Roman" w:eastAsia="宋体" w:cs="Times New Roman"/>
                <w:color w:val="000000" w:themeColor="text1"/>
                <w:szCs w:val="2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1"/>
                <w:highlight w:val="none"/>
                <w14:textFill>
                  <w14:solidFill>
                    <w14:schemeClr w14:val="tx1"/>
                  </w14:solidFill>
                </w14:textFill>
              </w:rPr>
              <w:t>生产系统风险识别</w:t>
            </w:r>
          </w:p>
          <w:p w14:paraId="2F7BCF2C">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本期项目潜在危险识别见</w:t>
            </w:r>
            <w:r>
              <w:rPr>
                <w:rFonts w:hint="eastAsia" w:cs="Times New Roman"/>
                <w:color w:val="000000" w:themeColor="text1"/>
                <w:szCs w:val="21"/>
                <w:highlight w:val="none"/>
                <w:lang w:val="en-US" w:eastAsia="zh-CN"/>
                <w14:textFill>
                  <w14:solidFill>
                    <w14:schemeClr w14:val="tx1"/>
                  </w14:solidFill>
                </w14:textFill>
              </w:rPr>
              <w:t>下表</w:t>
            </w:r>
            <w:r>
              <w:rPr>
                <w:rFonts w:hint="default" w:ascii="Times New Roman" w:hAnsi="Times New Roman" w:eastAsia="宋体" w:cs="Times New Roman"/>
                <w:color w:val="000000" w:themeColor="text1"/>
                <w:szCs w:val="21"/>
                <w:highlight w:val="none"/>
                <w14:textFill>
                  <w14:solidFill>
                    <w14:schemeClr w14:val="tx1"/>
                  </w14:solidFill>
                </w14:textFill>
              </w:rPr>
              <w:t>。</w:t>
            </w:r>
          </w:p>
          <w:p w14:paraId="6834C20E">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14BF363A">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78814126">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287ADE84">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6946911F">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55B39E29">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3E3218D6">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71FE3422">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2C713C6A">
            <w:pPr>
              <w:pStyle w:val="45"/>
              <w:rPr>
                <w:rFonts w:hint="default" w:ascii="Times New Roman" w:hAnsi="Times New Roman" w:eastAsia="宋体" w:cs="Times New Roman"/>
                <w:color w:val="000000" w:themeColor="text1"/>
                <w:szCs w:val="21"/>
                <w:highlight w:val="none"/>
                <w14:textFill>
                  <w14:solidFill>
                    <w14:schemeClr w14:val="tx1"/>
                  </w14:solidFill>
                </w14:textFill>
              </w:rPr>
            </w:pPr>
          </w:p>
          <w:p w14:paraId="5D5E7795">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cs="Times New Roman"/>
                <w:color w:val="000000" w:themeColor="text1"/>
                <w:szCs w:val="21"/>
                <w:highlight w:val="none"/>
                <w:lang w:val="en-US" w:eastAsia="zh-CN"/>
                <w14:textFill>
                  <w14:solidFill>
                    <w14:schemeClr w14:val="tx1"/>
                  </w14:solidFill>
                </w14:textFill>
              </w:rPr>
              <w:t xml:space="preserve">20 </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项目生产过程潜在风险识别</w:t>
            </w:r>
          </w:p>
          <w:tbl>
            <w:tblPr>
              <w:tblStyle w:val="36"/>
              <w:tblW w:w="79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6"/>
              <w:gridCol w:w="891"/>
              <w:gridCol w:w="1646"/>
              <w:gridCol w:w="4745"/>
            </w:tblGrid>
            <w:tr w14:paraId="2F7424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tcBorders>
                    <w:top w:val="single" w:color="auto" w:sz="12" w:space="0"/>
                    <w:bottom w:val="double" w:color="auto" w:sz="4" w:space="0"/>
                  </w:tcBorders>
                  <w:shd w:val="clear" w:color="auto" w:fill="auto"/>
                  <w:vAlign w:val="center"/>
                </w:tcPr>
                <w:p w14:paraId="263E17D7">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序号</w:t>
                  </w:r>
                </w:p>
              </w:tc>
              <w:tc>
                <w:tcPr>
                  <w:tcW w:w="891" w:type="dxa"/>
                  <w:tcBorders>
                    <w:top w:val="single" w:color="auto" w:sz="12" w:space="0"/>
                    <w:bottom w:val="double" w:color="auto" w:sz="4" w:space="0"/>
                  </w:tcBorders>
                  <w:shd w:val="clear" w:color="auto" w:fill="auto"/>
                  <w:vAlign w:val="center"/>
                </w:tcPr>
                <w:p w14:paraId="408F63C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风险源</w:t>
                  </w:r>
                </w:p>
              </w:tc>
              <w:tc>
                <w:tcPr>
                  <w:tcW w:w="1646" w:type="dxa"/>
                  <w:tcBorders>
                    <w:top w:val="single" w:color="auto" w:sz="12" w:space="0"/>
                    <w:bottom w:val="double" w:color="auto" w:sz="4" w:space="0"/>
                  </w:tcBorders>
                  <w:shd w:val="clear" w:color="auto" w:fill="auto"/>
                  <w:vAlign w:val="center"/>
                </w:tcPr>
                <w:p w14:paraId="3BF5883D">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潜在风险</w:t>
                  </w:r>
                </w:p>
              </w:tc>
              <w:tc>
                <w:tcPr>
                  <w:tcW w:w="4745" w:type="dxa"/>
                  <w:tcBorders>
                    <w:top w:val="single" w:color="auto" w:sz="12" w:space="0"/>
                    <w:bottom w:val="double" w:color="auto" w:sz="4" w:space="0"/>
                  </w:tcBorders>
                  <w:shd w:val="clear" w:color="auto" w:fill="auto"/>
                  <w:vAlign w:val="center"/>
                </w:tcPr>
                <w:p w14:paraId="7F64564F">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风险描述</w:t>
                  </w:r>
                </w:p>
              </w:tc>
            </w:tr>
            <w:tr w14:paraId="059395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Merge w:val="restart"/>
                  <w:tcBorders>
                    <w:top w:val="double" w:color="auto" w:sz="4" w:space="0"/>
                  </w:tcBorders>
                  <w:shd w:val="clear" w:color="auto" w:fill="auto"/>
                  <w:vAlign w:val="center"/>
                </w:tcPr>
                <w:p w14:paraId="66C3137A">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w:t>
                  </w:r>
                </w:p>
              </w:tc>
              <w:tc>
                <w:tcPr>
                  <w:tcW w:w="891" w:type="dxa"/>
                  <w:vMerge w:val="restart"/>
                  <w:tcBorders>
                    <w:top w:val="double" w:color="auto" w:sz="4" w:space="0"/>
                  </w:tcBorders>
                  <w:shd w:val="clear" w:color="auto" w:fill="auto"/>
                  <w:vAlign w:val="center"/>
                </w:tcPr>
                <w:p w14:paraId="555B9D19">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生产设施</w:t>
                  </w:r>
                </w:p>
              </w:tc>
              <w:tc>
                <w:tcPr>
                  <w:tcW w:w="1646" w:type="dxa"/>
                  <w:tcBorders>
                    <w:top w:val="double" w:color="auto" w:sz="4" w:space="0"/>
                  </w:tcBorders>
                  <w:shd w:val="clear" w:color="auto" w:fill="auto"/>
                  <w:vAlign w:val="center"/>
                </w:tcPr>
                <w:p w14:paraId="5F2A35A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接口、管道泄漏</w:t>
                  </w:r>
                </w:p>
              </w:tc>
              <w:tc>
                <w:tcPr>
                  <w:tcW w:w="4745" w:type="dxa"/>
                  <w:tcBorders>
                    <w:top w:val="double" w:color="auto" w:sz="4" w:space="0"/>
                  </w:tcBorders>
                  <w:shd w:val="clear" w:color="auto" w:fill="auto"/>
                  <w:vAlign w:val="center"/>
                </w:tcPr>
                <w:p w14:paraId="14979C02">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系统中接口或管道因受腐蚀或外力后损坏，导致物料的泄漏，对周围环境及人员造成严重影响</w:t>
                  </w:r>
                </w:p>
              </w:tc>
            </w:tr>
            <w:tr w14:paraId="2D90A6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Merge w:val="continue"/>
                  <w:shd w:val="clear" w:color="auto" w:fill="auto"/>
                  <w:vAlign w:val="center"/>
                </w:tcPr>
                <w:p w14:paraId="3D23B7F5">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91" w:type="dxa"/>
                  <w:vMerge w:val="continue"/>
                  <w:shd w:val="clear" w:color="auto" w:fill="auto"/>
                  <w:vAlign w:val="center"/>
                </w:tcPr>
                <w:p w14:paraId="6D46B849">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46" w:type="dxa"/>
                  <w:shd w:val="clear" w:color="auto" w:fill="auto"/>
                  <w:vAlign w:val="center"/>
                </w:tcPr>
                <w:p w14:paraId="3D352DC9">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设备泄漏</w:t>
                  </w:r>
                </w:p>
              </w:tc>
              <w:tc>
                <w:tcPr>
                  <w:tcW w:w="4745" w:type="dxa"/>
                  <w:shd w:val="clear" w:color="auto" w:fill="auto"/>
                  <w:vAlign w:val="center"/>
                </w:tcPr>
                <w:p w14:paraId="0C2513EC">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管道受腐蚀或外力后损坏，燃料的泄漏</w:t>
                  </w:r>
                </w:p>
              </w:tc>
            </w:tr>
            <w:tr w14:paraId="67A51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656" w:type="dxa"/>
                  <w:vMerge w:val="restart"/>
                  <w:shd w:val="clear" w:color="auto" w:fill="auto"/>
                  <w:vAlign w:val="center"/>
                </w:tcPr>
                <w:p w14:paraId="1877D15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c>
                <w:tcPr>
                  <w:tcW w:w="891" w:type="dxa"/>
                  <w:vMerge w:val="restart"/>
                  <w:shd w:val="clear" w:color="auto" w:fill="auto"/>
                  <w:vAlign w:val="center"/>
                </w:tcPr>
                <w:p w14:paraId="34D4191F">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贮运设施</w:t>
                  </w:r>
                </w:p>
              </w:tc>
              <w:tc>
                <w:tcPr>
                  <w:tcW w:w="1646" w:type="dxa"/>
                  <w:shd w:val="clear" w:color="auto" w:fill="auto"/>
                  <w:vAlign w:val="center"/>
                </w:tcPr>
                <w:p w14:paraId="11386961">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贮存</w:t>
                  </w:r>
                </w:p>
              </w:tc>
              <w:tc>
                <w:tcPr>
                  <w:tcW w:w="4745" w:type="dxa"/>
                  <w:shd w:val="clear" w:color="auto" w:fill="auto"/>
                  <w:vAlign w:val="center"/>
                </w:tcPr>
                <w:p w14:paraId="3D3D6ACB">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包装桶等受腐蚀或外力后损坏，会发生泄漏，泄漏出来的物料可能带来水污染和大气污染，对周边环境和人群产生危害</w:t>
                  </w:r>
                </w:p>
              </w:tc>
            </w:tr>
            <w:tr w14:paraId="15F5F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Merge w:val="continue"/>
                  <w:shd w:val="clear" w:color="auto" w:fill="auto"/>
                  <w:vAlign w:val="center"/>
                </w:tcPr>
                <w:p w14:paraId="4C5D8D25">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91" w:type="dxa"/>
                  <w:vMerge w:val="continue"/>
                  <w:shd w:val="clear" w:color="auto" w:fill="auto"/>
                  <w:vAlign w:val="center"/>
                </w:tcPr>
                <w:p w14:paraId="3F86E8F0">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46" w:type="dxa"/>
                  <w:shd w:val="clear" w:color="auto" w:fill="auto"/>
                  <w:vAlign w:val="center"/>
                </w:tcPr>
                <w:p w14:paraId="5F0306C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运输</w:t>
                  </w:r>
                </w:p>
              </w:tc>
              <w:tc>
                <w:tcPr>
                  <w:tcW w:w="4745" w:type="dxa"/>
                  <w:shd w:val="clear" w:color="auto" w:fill="auto"/>
                  <w:vAlign w:val="center"/>
                </w:tcPr>
                <w:p w14:paraId="6CE0A916">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化学品原料在运输过程中。因容器破损或交通事故，会引起物料的泄漏，对环境和人群带来不利影响</w:t>
                  </w:r>
                </w:p>
              </w:tc>
            </w:tr>
            <w:tr w14:paraId="56B379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Merge w:val="restart"/>
                  <w:shd w:val="clear" w:color="auto" w:fill="auto"/>
                  <w:vAlign w:val="center"/>
                </w:tcPr>
                <w:p w14:paraId="1C40678E">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w:t>
                  </w:r>
                </w:p>
              </w:tc>
              <w:tc>
                <w:tcPr>
                  <w:tcW w:w="891" w:type="dxa"/>
                  <w:vMerge w:val="restart"/>
                  <w:shd w:val="clear" w:color="auto" w:fill="auto"/>
                  <w:vAlign w:val="center"/>
                </w:tcPr>
                <w:p w14:paraId="647410C6">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其他</w:t>
                  </w:r>
                </w:p>
              </w:tc>
              <w:tc>
                <w:tcPr>
                  <w:tcW w:w="1646" w:type="dxa"/>
                  <w:shd w:val="clear" w:color="auto" w:fill="auto"/>
                  <w:vAlign w:val="center"/>
                </w:tcPr>
                <w:p w14:paraId="62100276">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公用工程</w:t>
                  </w:r>
                </w:p>
              </w:tc>
              <w:tc>
                <w:tcPr>
                  <w:tcW w:w="4745" w:type="dxa"/>
                  <w:shd w:val="clear" w:color="auto" w:fill="auto"/>
                  <w:vAlign w:val="center"/>
                </w:tcPr>
                <w:p w14:paraId="305EAFA2">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电器设备的主要危险是触电事故和超负荷引起的火灾。或者因电气设备损坏或失灵，突然停电，致使各类设备停止工作，由此可能引发废气处理措施失效造成废气污染物未经处理直接排放</w:t>
                  </w:r>
                </w:p>
              </w:tc>
            </w:tr>
            <w:tr w14:paraId="1E58A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656" w:type="dxa"/>
                  <w:vMerge w:val="continue"/>
                  <w:shd w:val="clear" w:color="auto" w:fill="auto"/>
                  <w:vAlign w:val="center"/>
                </w:tcPr>
                <w:p w14:paraId="5FF8AFA0">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91" w:type="dxa"/>
                  <w:vMerge w:val="continue"/>
                  <w:shd w:val="clear" w:color="auto" w:fill="auto"/>
                  <w:vAlign w:val="center"/>
                </w:tcPr>
                <w:p w14:paraId="7182B124">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46" w:type="dxa"/>
                  <w:shd w:val="clear" w:color="auto" w:fill="auto"/>
                  <w:vAlign w:val="center"/>
                </w:tcPr>
                <w:p w14:paraId="3571CF9E">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环保工程</w:t>
                  </w:r>
                </w:p>
              </w:tc>
              <w:tc>
                <w:tcPr>
                  <w:tcW w:w="4745" w:type="dxa"/>
                  <w:shd w:val="clear" w:color="auto" w:fill="auto"/>
                  <w:vAlign w:val="center"/>
                </w:tcPr>
                <w:p w14:paraId="09F97A3E">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突发性泄漏和火灾爆炸事故泄漏、伴生和次生的泄漏物料、消防水可能直接进入市政污水管网和雨水管网，接管污水处理厂，给污水处理厂造成一定的冲击</w:t>
                  </w:r>
                </w:p>
              </w:tc>
            </w:tr>
            <w:tr w14:paraId="79F408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56" w:type="dxa"/>
                  <w:vMerge w:val="continue"/>
                  <w:shd w:val="clear" w:color="auto" w:fill="auto"/>
                  <w:vAlign w:val="center"/>
                </w:tcPr>
                <w:p w14:paraId="7E566299">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891" w:type="dxa"/>
                  <w:vMerge w:val="continue"/>
                  <w:shd w:val="clear" w:color="auto" w:fill="auto"/>
                  <w:vAlign w:val="center"/>
                </w:tcPr>
                <w:p w14:paraId="2387F7BD">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646" w:type="dxa"/>
                  <w:shd w:val="clear" w:color="auto" w:fill="auto"/>
                  <w:vAlign w:val="center"/>
                </w:tcPr>
                <w:p w14:paraId="7874CF5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责任因素</w:t>
                  </w:r>
                </w:p>
              </w:tc>
              <w:tc>
                <w:tcPr>
                  <w:tcW w:w="4745" w:type="dxa"/>
                  <w:shd w:val="clear" w:color="auto" w:fill="auto"/>
                  <w:vAlign w:val="center"/>
                </w:tcPr>
                <w:p w14:paraId="371E63DC">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因工程结构设计不合理、设备制造和检验不合格、作业人员误操作或玩忽职守、维修过程违反规定等，以及认为破坏都有可能造成事故</w:t>
                  </w:r>
                </w:p>
              </w:tc>
            </w:tr>
          </w:tbl>
          <w:p w14:paraId="444914DC">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空气、水体和土壤等环境要素是危险物质向环境转移的最基本的途径，同时这三种要素之间又随时发生有害物质和能量的传递，污染物进入环境后，随着空气和水体环境发生推流迁移、分散稀释和降解转化运动。项目主要原辅料发生泄漏而形成液池，即可蒸发进入空气，或伴随应急处理废水进入水体。</w:t>
            </w:r>
          </w:p>
          <w:p w14:paraId="35F3B03C">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（2）风险潜势初判</w:t>
            </w:r>
          </w:p>
          <w:p w14:paraId="230E43D3">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危险物质数量临界量比值（Q）</w:t>
            </w:r>
          </w:p>
          <w:p w14:paraId="00CFF283">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根据《建设项目环境风险技术导则》（HJ169-2018）附表B，项目涉及的主要危险物质数量与临界量比值（Q）见表4-27。</w:t>
            </w:r>
          </w:p>
          <w:p w14:paraId="57AA7DFA">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当只涉及一种危险物质时，计算该物质的总量与其临界量的比值，即为Q；</w:t>
            </w:r>
          </w:p>
          <w:p w14:paraId="3FDDC028">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当存在多种危险物质量，则按下式计算物质总量与其临界量的比值（Q）：</w:t>
            </w:r>
          </w:p>
          <w:p w14:paraId="7E4562E5">
            <w:pPr>
              <w:autoSpaceDE w:val="0"/>
              <w:autoSpaceDN w:val="0"/>
              <w:adjustRightInd w:val="0"/>
              <w:snapToGrid w:val="0"/>
              <w:spacing w:line="400" w:lineRule="exact"/>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Q=q1/Q1+ q2/Q2+ ……+qn/Qn</w:t>
            </w:r>
          </w:p>
          <w:p w14:paraId="4656F328">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式中：q1、q2…，qn—每种危险物质的最大存在总量，t；</w:t>
            </w:r>
          </w:p>
          <w:p w14:paraId="1C1CDE4C">
            <w:pPr>
              <w:autoSpaceDE w:val="0"/>
              <w:autoSpaceDN w:val="0"/>
              <w:adjustRightInd w:val="0"/>
              <w:snapToGrid w:val="0"/>
              <w:spacing w:line="40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 xml:space="preserve">      Q1，Q2…，Qn—每种危险物质的临界量，t。</w:t>
            </w:r>
          </w:p>
          <w:p w14:paraId="26DD4B48">
            <w:pPr>
              <w:autoSpaceDE w:val="0"/>
              <w:autoSpaceDN w:val="0"/>
              <w:adjustRightInd w:val="0"/>
              <w:snapToGrid w:val="0"/>
              <w:spacing w:line="40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当Q＜1时，该项目环境风险潜势为Ⅰ</w:t>
            </w:r>
          </w:p>
          <w:p w14:paraId="76121937">
            <w:pPr>
              <w:autoSpaceDE w:val="0"/>
              <w:autoSpaceDN w:val="0"/>
              <w:adjustRightInd w:val="0"/>
              <w:snapToGrid w:val="0"/>
              <w:spacing w:line="40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当Q≥1时，将Q值划分为：（1）1≤Q＜10；（2）10≤Q＜100；（3）Q≥100</w:t>
            </w:r>
          </w:p>
          <w:p w14:paraId="61B6DCBC">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cs="Times New Roman"/>
                <w:color w:val="000000" w:themeColor="text1"/>
                <w:szCs w:val="21"/>
                <w:highlight w:val="none"/>
                <w:lang w:val="en-US" w:eastAsia="zh-CN"/>
                <w14:textFill>
                  <w14:solidFill>
                    <w14:schemeClr w14:val="tx1"/>
                  </w14:solidFill>
                </w14:textFill>
              </w:rPr>
              <w:t>23</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本期项目危险物质数量与临界量比值</w:t>
            </w:r>
          </w:p>
          <w:tbl>
            <w:tblPr>
              <w:tblStyle w:val="37"/>
              <w:tblW w:w="49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698"/>
              <w:gridCol w:w="1609"/>
              <w:gridCol w:w="1372"/>
              <w:gridCol w:w="1381"/>
              <w:gridCol w:w="1372"/>
            </w:tblGrid>
            <w:tr w14:paraId="73447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23" w:type="pct"/>
                  <w:gridSpan w:val="2"/>
                  <w:tcBorders>
                    <w:top w:val="single" w:color="auto" w:sz="12" w:space="0"/>
                    <w:left w:val="single" w:color="auto" w:sz="12" w:space="0"/>
                    <w:bottom w:val="double" w:color="auto" w:sz="4" w:space="0"/>
                  </w:tcBorders>
                  <w:vAlign w:val="center"/>
                </w:tcPr>
                <w:p w14:paraId="18711EF2">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危险物质名称</w:t>
                  </w:r>
                </w:p>
              </w:tc>
              <w:tc>
                <w:tcPr>
                  <w:tcW w:w="975" w:type="pct"/>
                  <w:tcBorders>
                    <w:top w:val="single" w:color="auto" w:sz="12" w:space="0"/>
                    <w:bottom w:val="double" w:color="auto" w:sz="4" w:space="0"/>
                  </w:tcBorders>
                  <w:vAlign w:val="center"/>
                </w:tcPr>
                <w:p w14:paraId="09C0CD5C">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CAS号</w:t>
                  </w:r>
                </w:p>
              </w:tc>
              <w:tc>
                <w:tcPr>
                  <w:tcW w:w="832" w:type="pct"/>
                  <w:tcBorders>
                    <w:top w:val="single" w:color="auto" w:sz="12" w:space="0"/>
                    <w:bottom w:val="double" w:color="auto" w:sz="4" w:space="0"/>
                  </w:tcBorders>
                  <w:vAlign w:val="center"/>
                </w:tcPr>
                <w:p w14:paraId="703039CD">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最大存在总量q（t）</w:t>
                  </w:r>
                </w:p>
              </w:tc>
              <w:tc>
                <w:tcPr>
                  <w:tcW w:w="837" w:type="pct"/>
                  <w:tcBorders>
                    <w:top w:val="single" w:color="auto" w:sz="12" w:space="0"/>
                    <w:bottom w:val="double" w:color="auto" w:sz="4" w:space="0"/>
                  </w:tcBorders>
                  <w:vAlign w:val="center"/>
                </w:tcPr>
                <w:p w14:paraId="7C102B77">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临界量Q（t）</w:t>
                  </w:r>
                </w:p>
              </w:tc>
              <w:tc>
                <w:tcPr>
                  <w:tcW w:w="832" w:type="pct"/>
                  <w:tcBorders>
                    <w:top w:val="single" w:color="auto" w:sz="12" w:space="0"/>
                    <w:bottom w:val="double" w:color="auto" w:sz="4" w:space="0"/>
                    <w:right w:val="single" w:color="auto" w:sz="12" w:space="0"/>
                  </w:tcBorders>
                  <w:vAlign w:val="center"/>
                </w:tcPr>
                <w:p w14:paraId="50189AE2">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q/Q</w:t>
                  </w:r>
                </w:p>
              </w:tc>
            </w:tr>
            <w:tr w14:paraId="4A2CA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95" w:type="pct"/>
                  <w:tcBorders>
                    <w:top w:val="double" w:color="auto" w:sz="4" w:space="0"/>
                    <w:left w:val="single" w:color="auto" w:sz="12" w:space="0"/>
                  </w:tcBorders>
                  <w:vAlign w:val="center"/>
                </w:tcPr>
                <w:p w14:paraId="730517C6">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原辅料</w:t>
                  </w:r>
                </w:p>
              </w:tc>
              <w:tc>
                <w:tcPr>
                  <w:tcW w:w="1029" w:type="pct"/>
                  <w:tcBorders>
                    <w:top w:val="double" w:color="auto" w:sz="4" w:space="0"/>
                  </w:tcBorders>
                  <w:vAlign w:val="center"/>
                </w:tcPr>
                <w:p w14:paraId="6A647288">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天然气</w:t>
                  </w:r>
                </w:p>
              </w:tc>
              <w:tc>
                <w:tcPr>
                  <w:tcW w:w="975" w:type="pct"/>
                  <w:tcBorders>
                    <w:top w:val="double" w:color="auto" w:sz="4" w:space="0"/>
                  </w:tcBorders>
                  <w:vAlign w:val="center"/>
                </w:tcPr>
                <w:p w14:paraId="51D6C9C0">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w:t>
                  </w:r>
                </w:p>
              </w:tc>
              <w:tc>
                <w:tcPr>
                  <w:tcW w:w="832" w:type="pct"/>
                  <w:tcBorders>
                    <w:top w:val="double" w:color="auto" w:sz="4" w:space="0"/>
                  </w:tcBorders>
                  <w:vAlign w:val="center"/>
                </w:tcPr>
                <w:p w14:paraId="05A9C276">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0.022</w:t>
                  </w:r>
                </w:p>
              </w:tc>
              <w:tc>
                <w:tcPr>
                  <w:tcW w:w="837" w:type="pct"/>
                  <w:tcBorders>
                    <w:top w:val="double" w:color="auto" w:sz="4" w:space="0"/>
                  </w:tcBorders>
                  <w:vAlign w:val="center"/>
                </w:tcPr>
                <w:p w14:paraId="34DEB16B">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10</w:t>
                  </w:r>
                </w:p>
              </w:tc>
              <w:tc>
                <w:tcPr>
                  <w:tcW w:w="832" w:type="pct"/>
                  <w:tcBorders>
                    <w:top w:val="double" w:color="auto" w:sz="4" w:space="0"/>
                    <w:right w:val="single" w:color="auto" w:sz="12" w:space="0"/>
                  </w:tcBorders>
                  <w:vAlign w:val="center"/>
                </w:tcPr>
                <w:p w14:paraId="1938888F">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002</w:t>
                  </w: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r>
            <w:tr w14:paraId="3B92E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168" w:type="pct"/>
                  <w:gridSpan w:val="5"/>
                  <w:tcBorders>
                    <w:left w:val="single" w:color="auto" w:sz="12" w:space="0"/>
                    <w:bottom w:val="single" w:color="auto" w:sz="12" w:space="0"/>
                  </w:tcBorders>
                  <w:vAlign w:val="center"/>
                </w:tcPr>
                <w:p w14:paraId="3442C085">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合计（∑Q值）</w:t>
                  </w:r>
                </w:p>
              </w:tc>
              <w:tc>
                <w:tcPr>
                  <w:tcW w:w="832" w:type="pct"/>
                  <w:tcBorders>
                    <w:bottom w:val="single" w:color="auto" w:sz="12" w:space="0"/>
                    <w:right w:val="single" w:color="auto" w:sz="12" w:space="0"/>
                  </w:tcBorders>
                  <w:vAlign w:val="center"/>
                </w:tcPr>
                <w:p w14:paraId="20908DA2">
                  <w:pPr>
                    <w:autoSpaceDE w:val="0"/>
                    <w:autoSpaceDN w:val="0"/>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0.</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002</w:t>
                  </w:r>
                  <w:r>
                    <w:rPr>
                      <w:rFonts w:hint="default" w:ascii="Times New Roman" w:hAnsi="Times New Roman" w:eastAsia="宋体" w:cs="Times New Roman"/>
                      <w:color w:val="000000" w:themeColor="text1"/>
                      <w:sz w:val="18"/>
                      <w:szCs w:val="18"/>
                      <w:highlight w:val="none"/>
                      <w14:textFill>
                        <w14:solidFill>
                          <w14:schemeClr w14:val="tx1"/>
                        </w14:solidFill>
                      </w14:textFill>
                    </w:rPr>
                    <w:t>2</w:t>
                  </w:r>
                </w:p>
              </w:tc>
            </w:tr>
          </w:tbl>
          <w:p w14:paraId="30511946">
            <w:pPr>
              <w:autoSpaceDE w:val="0"/>
              <w:autoSpaceDN w:val="0"/>
              <w:adjustRightInd w:val="0"/>
              <w:snapToGrid w:val="0"/>
              <w:spacing w:line="40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由表可知，项目Q＜1， 潜势为Ⅰ。</w:t>
            </w:r>
          </w:p>
          <w:p w14:paraId="6C48229F">
            <w:pPr>
              <w:autoSpaceDE w:val="0"/>
              <w:autoSpaceDN w:val="0"/>
              <w:adjustRightInd w:val="0"/>
              <w:snapToGrid w:val="0"/>
              <w:spacing w:line="400" w:lineRule="exact"/>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本期项目评价工作等级划分见下表。</w:t>
            </w:r>
          </w:p>
          <w:p w14:paraId="071E5038">
            <w:pPr>
              <w:autoSpaceDE w:val="0"/>
              <w:autoSpaceDN w:val="0"/>
              <w:adjustRightInd w:val="0"/>
              <w:snapToGrid w:val="0"/>
              <w:spacing w:line="400" w:lineRule="exact"/>
              <w:ind w:firstLine="420" w:firstLineChars="20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表4-</w:t>
            </w:r>
            <w:r>
              <w:rPr>
                <w:rFonts w:hint="eastAsia" w:cs="Times New Roman"/>
                <w:color w:val="000000" w:themeColor="text1"/>
                <w:szCs w:val="21"/>
                <w:highlight w:val="none"/>
                <w:lang w:val="en-US" w:eastAsia="zh-CN"/>
                <w14:textFill>
                  <w14:solidFill>
                    <w14:schemeClr w14:val="tx1"/>
                  </w14:solidFill>
                </w14:textFill>
              </w:rPr>
              <w:t>24</w:t>
            </w:r>
            <w:r>
              <w:rPr>
                <w:rFonts w:hint="default" w:ascii="Times New Roman" w:hAnsi="Times New Roman" w:eastAsia="宋体" w:cs="Times New Roman"/>
                <w:color w:val="000000" w:themeColor="text1"/>
                <w:szCs w:val="21"/>
                <w:highlight w:val="none"/>
                <w14:textFill>
                  <w14:solidFill>
                    <w14:schemeClr w14:val="tx1"/>
                  </w14:solidFill>
                </w14:textFill>
              </w:rPr>
              <w:t xml:space="preserve">  风险评价等级划分一览表</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768"/>
              <w:gridCol w:w="1768"/>
              <w:gridCol w:w="1768"/>
              <w:gridCol w:w="1768"/>
            </w:tblGrid>
            <w:tr w14:paraId="66EF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8" w:type="dxa"/>
                  <w:tcBorders>
                    <w:top w:val="single" w:color="auto" w:sz="12" w:space="0"/>
                    <w:left w:val="single" w:color="auto" w:sz="12" w:space="0"/>
                  </w:tcBorders>
                  <w:vAlign w:val="center"/>
                </w:tcPr>
                <w:p w14:paraId="62F8F398">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环境风险潜势</w:t>
                  </w:r>
                </w:p>
              </w:tc>
              <w:tc>
                <w:tcPr>
                  <w:tcW w:w="1768" w:type="dxa"/>
                  <w:tcBorders>
                    <w:top w:val="single" w:color="auto" w:sz="12" w:space="0"/>
                  </w:tcBorders>
                  <w:vAlign w:val="center"/>
                </w:tcPr>
                <w:p w14:paraId="018F863A">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Ⅳ、Ⅳ</w:t>
                  </w:r>
                  <w:r>
                    <w:rPr>
                      <w:rFonts w:hint="default" w:ascii="Times New Roman" w:hAnsi="Times New Roman" w:eastAsia="宋体" w:cs="Times New Roman"/>
                      <w:color w:val="000000" w:themeColor="text1"/>
                      <w:sz w:val="18"/>
                      <w:szCs w:val="18"/>
                      <w:highlight w:val="none"/>
                      <w:vertAlign w:val="superscript"/>
                      <w14:textFill>
                        <w14:solidFill>
                          <w14:schemeClr w14:val="tx1"/>
                        </w14:solidFill>
                      </w14:textFill>
                    </w:rPr>
                    <w:t>+</w:t>
                  </w:r>
                </w:p>
              </w:tc>
              <w:tc>
                <w:tcPr>
                  <w:tcW w:w="1768" w:type="dxa"/>
                  <w:tcBorders>
                    <w:top w:val="single" w:color="auto" w:sz="12" w:space="0"/>
                  </w:tcBorders>
                  <w:vAlign w:val="center"/>
                </w:tcPr>
                <w:p w14:paraId="7EDE92B7">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Ⅲ</w:t>
                  </w:r>
                </w:p>
              </w:tc>
              <w:tc>
                <w:tcPr>
                  <w:tcW w:w="1768" w:type="dxa"/>
                  <w:tcBorders>
                    <w:top w:val="single" w:color="auto" w:sz="12" w:space="0"/>
                  </w:tcBorders>
                  <w:vAlign w:val="center"/>
                </w:tcPr>
                <w:p w14:paraId="15A612C2">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Ⅱ</w:t>
                  </w:r>
                </w:p>
              </w:tc>
              <w:tc>
                <w:tcPr>
                  <w:tcW w:w="1768" w:type="dxa"/>
                  <w:tcBorders>
                    <w:top w:val="single" w:color="auto" w:sz="12" w:space="0"/>
                    <w:right w:val="single" w:color="auto" w:sz="12" w:space="0"/>
                  </w:tcBorders>
                  <w:vAlign w:val="center"/>
                </w:tcPr>
                <w:p w14:paraId="33BC31B5">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Ⅰ</w:t>
                  </w:r>
                </w:p>
              </w:tc>
            </w:tr>
            <w:tr w14:paraId="0A020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6" w:type="dxa"/>
                  <w:tcBorders>
                    <w:left w:val="single" w:color="auto" w:sz="12" w:space="0"/>
                  </w:tcBorders>
                  <w:vAlign w:val="center"/>
                </w:tcPr>
                <w:p w14:paraId="6FE2699F">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评价工作等级</w:t>
                  </w:r>
                </w:p>
              </w:tc>
              <w:tc>
                <w:tcPr>
                  <w:tcW w:w="1672" w:type="dxa"/>
                  <w:vAlign w:val="center"/>
                </w:tcPr>
                <w:p w14:paraId="10387349">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w:t>
                  </w:r>
                </w:p>
              </w:tc>
              <w:tc>
                <w:tcPr>
                  <w:tcW w:w="1656" w:type="dxa"/>
                  <w:vAlign w:val="center"/>
                </w:tcPr>
                <w:p w14:paraId="77D3A30C">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w:t>
                  </w:r>
                </w:p>
              </w:tc>
              <w:tc>
                <w:tcPr>
                  <w:tcW w:w="1656" w:type="dxa"/>
                  <w:vAlign w:val="center"/>
                </w:tcPr>
                <w:p w14:paraId="4B012FD1">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三</w:t>
                  </w:r>
                </w:p>
              </w:tc>
              <w:tc>
                <w:tcPr>
                  <w:tcW w:w="1656" w:type="dxa"/>
                  <w:tcBorders>
                    <w:right w:val="single" w:color="auto" w:sz="12" w:space="0"/>
                  </w:tcBorders>
                  <w:vAlign w:val="center"/>
                </w:tcPr>
                <w:p w14:paraId="3381753B">
                  <w:pPr>
                    <w:autoSpaceDE w:val="0"/>
                    <w:autoSpaceDN w:val="0"/>
                    <w:adjustRightInd w:val="0"/>
                    <w:snapToGrid w:val="0"/>
                    <w:spacing w:line="40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简单分析*</w:t>
                  </w:r>
                </w:p>
              </w:tc>
            </w:tr>
            <w:tr w14:paraId="0083D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0" w:type="dxa"/>
                  <w:gridSpan w:val="5"/>
                  <w:tcBorders>
                    <w:left w:val="single" w:color="auto" w:sz="12" w:space="0"/>
                    <w:bottom w:val="single" w:color="auto" w:sz="12" w:space="0"/>
                    <w:right w:val="single" w:color="auto" w:sz="12" w:space="0"/>
                  </w:tcBorders>
                  <w:vAlign w:val="center"/>
                </w:tcPr>
                <w:p w14:paraId="14B0BE40">
                  <w:pPr>
                    <w:autoSpaceDE w:val="0"/>
                    <w:autoSpaceDN w:val="0"/>
                    <w:adjustRightInd w:val="0"/>
                    <w:snapToGrid w:val="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*是相对于详细评价工作而言，在描述危险物质、环境影响途径、环境危害后果、风险防范措施等方面给出定性的说明，见附录A</w:t>
                  </w:r>
                </w:p>
              </w:tc>
            </w:tr>
          </w:tbl>
          <w:p w14:paraId="76002AD3">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综上，本期项目仅需要对环境风险开展简单分析。</w:t>
            </w:r>
          </w:p>
          <w:p w14:paraId="0A55D5CD">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（3）环境风险识别</w:t>
            </w:r>
          </w:p>
          <w:p w14:paraId="316FA475">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①物质危险性识别</w:t>
            </w:r>
          </w:p>
          <w:p w14:paraId="214CAA45">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根据《建设项目环境风险评价技术导则》（HJ169-2018）中附录B，本期项目涉及到的危险物质主要为天然气。</w:t>
            </w:r>
          </w:p>
          <w:p w14:paraId="114D5722">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②生产系统危险性识别</w:t>
            </w:r>
          </w:p>
          <w:p w14:paraId="38D98C43">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项目环境风险设施主要有燃气锅炉、</w:t>
            </w:r>
            <w:r>
              <w:rPr>
                <w:rFonts w:hint="eastAsia" w:cs="Times New Roman"/>
                <w:color w:val="000000" w:themeColor="text1"/>
                <w:szCs w:val="21"/>
                <w:highlight w:val="none"/>
                <w:lang w:val="en-US" w:eastAsia="zh-CN"/>
                <w14:textFill>
                  <w14:solidFill>
                    <w14:schemeClr w14:val="tx1"/>
                  </w14:solidFill>
                </w14:textFill>
              </w:rPr>
              <w:t>管道内的天然气</w:t>
            </w:r>
            <w:r>
              <w:rPr>
                <w:rFonts w:hint="default" w:ascii="Times New Roman" w:hAnsi="Times New Roman" w:eastAsia="宋体" w:cs="Times New Roman"/>
                <w:color w:val="000000" w:themeColor="text1"/>
                <w:szCs w:val="21"/>
                <w:highlight w:val="none"/>
                <w14:textFill>
                  <w14:solidFill>
                    <w14:schemeClr w14:val="tx1"/>
                  </w14:solidFill>
                </w14:textFill>
              </w:rPr>
              <w:t>、阀门等。</w:t>
            </w:r>
          </w:p>
          <w:p w14:paraId="768A79B9">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③环境风险类型及危害分析</w:t>
            </w:r>
          </w:p>
          <w:p w14:paraId="367143E3">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可能存在的风险类型有泄漏、火灾及事故排放等。</w:t>
            </w:r>
          </w:p>
          <w:p w14:paraId="34E83359">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④事故影响途径</w:t>
            </w:r>
          </w:p>
          <w:p w14:paraId="6FC30E30">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天然气在泄漏时，如果能及时排除泄漏故障，则可避免对环境造成污染，如果处理不及时，泄漏物进入大气，会对大气环境造成污染。对于火灾事故，燃烧后产生的主要分解产物CO，也可能导致人群中毒、窒息甚至死亡，消防废水进入外环境可能污染地表水和地下水。对此，建设单位需制定严格的规章制度，厂区内严禁明火；严禁在天然气储罐和车间之间的管线附近开挖沟渠，以免破损天然气管道，导致燃气泄漏，设置消防废水收集措施，确保事故状态下能顺利收集泄漏物和消防废水。</w:t>
            </w:r>
          </w:p>
          <w:p w14:paraId="0CCAEDCE">
            <w:pPr>
              <w:autoSpaceDE w:val="0"/>
              <w:autoSpaceDN w:val="0"/>
              <w:adjustRightInd w:val="0"/>
              <w:snapToGrid w:val="0"/>
              <w:spacing w:line="480" w:lineRule="exact"/>
              <w:ind w:firstLine="422" w:firstLineChars="200"/>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（4）环境风险分析</w:t>
            </w:r>
          </w:p>
          <w:p w14:paraId="0396099E">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①大气环境风险分析</w:t>
            </w:r>
          </w:p>
          <w:p w14:paraId="699EC3E8">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天然气泄漏释放出含甲烷气，对大气环境造成污染，遇明火可能发生火灾和爆炸事故。当发生爆炸事故时，燃烧爆炸废气中的有毒有害物质会对周围大气造成污染。</w:t>
            </w:r>
          </w:p>
          <w:p w14:paraId="15117EB8">
            <w:pPr>
              <w:autoSpaceDE w:val="0"/>
              <w:autoSpaceDN w:val="0"/>
              <w:adjustRightInd w:val="0"/>
              <w:snapToGrid w:val="0"/>
              <w:spacing w:line="480" w:lineRule="exact"/>
              <w:ind w:firstLine="422"/>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②次生消防废水环境风险分析</w:t>
            </w:r>
          </w:p>
          <w:p w14:paraId="3A4BACFF">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当发生天然气燃爆事故，消防废水进入外环境可能污染地表水和地下水。建立健全的消防与安全生产规章制度，建立岗位责任制。生产区，仓库严禁明火。工作人员定时进行检查巡逻，当发现有天然气泄漏时立即报警。根据《建筑设计防火规范》（GB50016-2014[2018 年版]）的要求在装置区内设置室外消火栓，其布置应满足规范的要求；工厂内装置的电话应与当地公安或企业消防站有良好的联络，火灾时可及时报警。根据《建筑灭火器配置设计规范》（ GB50140-2005 ） 和《建筑设计防火规范》（GB50016-2014[2018 年版]）的规定，生产区、仓库区等场所应配置足量的灭火器，并保持完好状态。</w:t>
            </w:r>
          </w:p>
          <w:p w14:paraId="581964FE">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厂区内所有建筑内部都配备相应的消防器材（包括消防栓、灭火器），并设置事故池，厂区所有对外排水管道均安装闸阀，一旦发生事故，立即关闭闸阀，使消防废水即进入厂区内的消防尾水收集池。</w:t>
            </w:r>
          </w:p>
          <w:p w14:paraId="2F58D0FA">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采用上述措施后，因消防排放而发生周边地表水污染事故的可能性极小。</w:t>
            </w:r>
          </w:p>
          <w:p w14:paraId="34F178D4">
            <w:pPr>
              <w:autoSpaceDE w:val="0"/>
              <w:autoSpaceDN w:val="0"/>
              <w:adjustRightInd w:val="0"/>
              <w:snapToGrid w:val="0"/>
              <w:spacing w:line="480" w:lineRule="exact"/>
              <w:ind w:firstLine="422" w:firstLineChars="200"/>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（5）环境风险防范措施及应急要求</w:t>
            </w:r>
          </w:p>
          <w:p w14:paraId="5DAA8C54">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①天然气泄漏防范措施</w:t>
            </w:r>
          </w:p>
          <w:p w14:paraId="67E686A6">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a、制定天然气使用车间安全管理制度，主要包括使用安全规则、安全生产责任制巡回检查制度、防治静电危害规定、防治中毒窒息规定、消防安全检查制度、防火防爆规定以及设备维修保养制度；</w:t>
            </w:r>
          </w:p>
          <w:p w14:paraId="0895F6EC">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b、加强职工教育培训，提高职工安全防范和应急能力；</w:t>
            </w:r>
          </w:p>
          <w:p w14:paraId="0F13C466">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c、用科学的方法和现有的监测仪器及时发现泄漏隐患，提前采取防范措施；</w:t>
            </w:r>
          </w:p>
          <w:p w14:paraId="6D4D090D">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d、人工监测手段：根据巡检人员的嗅觉和听觉来判断。天然气发生泄漏后，由于其比空气轻，会很快聚集在室内上部，在供气时放入四氢噻吩以便嗅觉识别，由于其有臭鸡蛋味道从而可以第一时间识别；或者用肥皂水检测：用喷壶将肥皂水喷到需要检测的部位或刷子将肥皂水刷到需要检测的部位，观察肥皂水是否起泡判断是否有泄漏。</w:t>
            </w:r>
          </w:p>
          <w:p w14:paraId="19890D2A">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e、天然气泄漏报警检测系统：在窑炉附近安装天然气泄漏报警器。当天然气泄漏报警器的测试值达到或超过泄漏规定的最大值时，DCS 系统声音报警的同时厂房轴流风机进行通风，运行人员可根据各报警器显示的数值在短时间内查找泄漏点。</w:t>
            </w:r>
          </w:p>
          <w:p w14:paraId="407FEAD9">
            <w:pPr>
              <w:autoSpaceDE w:val="0"/>
              <w:autoSpaceDN w:val="0"/>
              <w:adjustRightInd w:val="0"/>
              <w:snapToGrid w:val="0"/>
              <w:spacing w:line="48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f、选材、设计、加工、安装合理，天然气阀门的泄漏量要求十分严格，通常埋地和较重要的阀门都采用阀体全焊接结构。为了保证管线阀门的密封性能，要求密封件具有优良的耐腐蚀、耐磨性、自润性及弹性。用气车间每年都要采用高质量的材料对易泄漏的控制、调节、测量等零部件及其连接部位零配件进行更换，大大减少天然气的泄漏。</w:t>
            </w:r>
          </w:p>
          <w:p w14:paraId="7FA126D6">
            <w:pPr>
              <w:autoSpaceDE w:val="0"/>
              <w:autoSpaceDN w:val="0"/>
              <w:adjustRightInd w:val="0"/>
              <w:snapToGrid w:val="0"/>
              <w:spacing w:line="480" w:lineRule="exact"/>
              <w:ind w:firstLine="422" w:firstLineChars="200"/>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②、制定应急预案</w:t>
            </w:r>
          </w:p>
          <w:p w14:paraId="68385878">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为了在发生突发环境事件时，能够及时、有序、高效地实施抢险救援工作，最大限度地减少人员伤亡和财产损失，尽快恢复正常生产、工作秩序，建设项目必须修编厂区突发环境事件应急预案。</w:t>
            </w:r>
          </w:p>
          <w:p w14:paraId="122BC6C5">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a、综合应急预案</w:t>
            </w:r>
          </w:p>
          <w:p w14:paraId="4AC7D96F">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b、发生事故后，先是抢救伤员，同时采取防止事故蔓延或扩大的措施。险情严重时必须组织抢险队和救护队；</w:t>
            </w:r>
          </w:p>
          <w:p w14:paraId="416FE3A2">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c、防止二次灾害事故发生，采取措施防止残留危险物品的燃烧和爆炸:可燃气体、液体的继续泄漏；悬吊物坠落和垮塌等；</w:t>
            </w:r>
          </w:p>
          <w:p w14:paraId="72B1742C">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d、建立警戒区，警戒线，撤离无关人员，禁止非抢救人员入内。</w:t>
            </w:r>
          </w:p>
          <w:p w14:paraId="58A9BEB8">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③现场处置方案</w:t>
            </w:r>
          </w:p>
          <w:p w14:paraId="3B2A7548">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a、管线爆破裂口、阀门发生泄漏处置方案：正确分析判断突发事故发生管段的位置，用最快的方法切断管段上下游的截断阀，同时组织人力对天然气扩散危险区进行警戒，严格控制一切可燃物可能发生的火源，避免发生着火爆炸和蔓延扩大；</w:t>
            </w:r>
          </w:p>
          <w:p w14:paraId="2BED7B15">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立刻将事故简要报告上级主管领导和生产指挥系统，通知当地公安消防部门加强防范措施；</w:t>
            </w:r>
          </w:p>
          <w:p w14:paraId="5C779FEA">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组织抢修队伍迅速奔赴现场，在现场领导小组的统一组织指挥下，按照制定的抢修方案和安全技术措施，周密组织，分工负责，在确保安全的前提下进行抢修；</w:t>
            </w:r>
          </w:p>
          <w:p w14:paraId="25DCD62C">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对一时不能恢复和维持正常输气生产时，应将窑炉及时停产，尽量减少事故的间接经济损失。</w:t>
            </w:r>
          </w:p>
          <w:p w14:paraId="2DD22FAF">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b、天然气火灾、爆炸处置方案事故发生时，根据现象和发生事故之前设备状况、操作参数变化，正确判断事故迅速处理，避免事故扩大，重大事故主动报总调度室；</w:t>
            </w:r>
          </w:p>
          <w:p w14:paraId="75B97ED8">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发生火灾事故后由第一发现人迅速拨打火警电话，报警时简要说明出事时间、地点、灾情现状等；</w:t>
            </w:r>
          </w:p>
          <w:p w14:paraId="10CE5423">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第一发现人拨打火警电话报警后，立即向值班室报警。值班干部接警后立即启动应急反应程序并全面处理各种复杂情况；</w:t>
            </w:r>
          </w:p>
          <w:p w14:paraId="654D7CB9">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事故发生后，各位操作人员要听从负责人的统一调度；</w:t>
            </w:r>
          </w:p>
          <w:p w14:paraId="04EDA2A1">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值班干部布置抢险任务，调查现场有无人员伤亡，并组织实施初期补救工作;值班干部向公司调度室汇报火情，有无人员伤亡。消防泵房值班人员在站内报警喊话，疏散一切非岗位作业人员及车辆，并做好启动消防泵等准备工作；</w:t>
            </w:r>
          </w:p>
          <w:p w14:paraId="316F90F3">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泄漏发生火灾，调度室要求停输并切断流程：</w:t>
            </w:r>
          </w:p>
          <w:p w14:paraId="132B49A4">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天然气泄漏引发火灾，立即停压缩机并切换流程，采用移动式干粉灭火器灭火，不易控制时可用泡沫灭火；</w:t>
            </w:r>
          </w:p>
          <w:p w14:paraId="1C70F725">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专职消防队伍抵达现场后，由值班干部介绍火情及扑救情况，协同制定扑救火灾方案其他人员撤离扑救现场，接受值班干部统一指挥做好切换流程和灭火协助工作；</w:t>
            </w:r>
          </w:p>
          <w:p w14:paraId="307F2FCB">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若在灭火过程中，启动消防水泵、消防泡沫泵，消防泵房岗位值班人员要及时补充消防水罐、泡沫罐液量，确保水罐、泡沫罐液量充足；</w:t>
            </w:r>
          </w:p>
          <w:p w14:paraId="390A9C42">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火势不能控制时，人员应迅速撤离到火焰热辐射伤害范围以外；</w:t>
            </w:r>
          </w:p>
          <w:p w14:paraId="291238B9">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大量天然气外泄可能形成蒸汽云爆炸时，应立即撤离到安全距离以外的区域，并严格控制火源(包括明火、静电、物体撞击等)；</w:t>
            </w:r>
          </w:p>
          <w:p w14:paraId="7A201022">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应急措施组长在确保火灾爆炸现场得到彻底控制后，及时清点人数组织清理现场，解除应急状态。</w:t>
            </w:r>
          </w:p>
          <w:p w14:paraId="3C582D7A">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c、天然气中毒处置方案</w:t>
            </w:r>
          </w:p>
          <w:p w14:paraId="519DBD6B">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天然气中主要成分是甲烷。甲烷对人基本无毒，但浓度过高时，空气中氧含量明显降低，使人窒息。当空气中甲烷达25％～30％时，可引起头痛、头晕、乏力、注意力不集中呼吸和心跳加速，若不及时脱离危险区，可导致窒息死亡。</w:t>
            </w:r>
          </w:p>
          <w:p w14:paraId="0D3723EB">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天然气中还含少量的硫化氢，正常情况下，硫化氢的浓度远小于20mg/m</w:t>
            </w:r>
            <w:r>
              <w:rPr>
                <w:rFonts w:hint="default" w:ascii="Times New Roman" w:hAnsi="Times New Roman" w:eastAsia="宋体" w:cs="Times New Roman"/>
                <w:bCs/>
                <w:color w:val="000000" w:themeColor="text1"/>
                <w:kern w:val="0"/>
                <w:szCs w:val="21"/>
                <w:highlight w:val="none"/>
                <w:vertAlign w:val="superscript"/>
                <w14:textFill>
                  <w14:solidFill>
                    <w14:schemeClr w14:val="tx1"/>
                  </w14:solidFill>
                </w14:textFill>
              </w:rPr>
              <w:t>3</w:t>
            </w:r>
            <w:r>
              <w:rPr>
                <w:rFonts w:hint="default" w:ascii="Times New Roman" w:hAnsi="Times New Roman" w:eastAsia="宋体" w:cs="Times New Roman"/>
                <w:bCs/>
                <w:color w:val="000000" w:themeColor="text1"/>
                <w:kern w:val="0"/>
                <w:szCs w:val="21"/>
                <w:highlight w:val="none"/>
                <w14:textFill>
                  <w14:solidFill>
                    <w14:schemeClr w14:val="tx1"/>
                  </w14:solidFill>
                </w14:textFill>
              </w:rPr>
              <w:t>。硫化氢是强烈的神经系毒物，对黏膜有强烈刺激作用，为中等毒性。短期内吸入硫化氢后出现流泪、眼痛、眼内有异物感、畏光、视物模糊、流涕、咽喉部灼热感、咳嗽、胸闷、头晕、乏力意识模糊等。部分患者可有心肌损害，重者可出现脑水肿。</w:t>
            </w:r>
          </w:p>
          <w:p w14:paraId="00C1DE0B">
            <w:pPr>
              <w:autoSpaceDE w:val="0"/>
              <w:autoSpaceDN w:val="0"/>
              <w:adjustRightInd w:val="0"/>
              <w:snapToGrid w:val="0"/>
              <w:spacing w:line="440" w:lineRule="exact"/>
              <w:ind w:firstLine="420" w:firstLineChars="200"/>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因此，一旦发生天然气泄漏中毒事故，营救人员不能盲目去救，必须按如下程序进行:首先进行个人防护，戴好防毒面具，或空气呼吸器。应尽可能切断发生源，防止事故扩大。救助伤员应按如下程序：</w:t>
            </w:r>
          </w:p>
          <w:p w14:paraId="4786DA04">
            <w:pPr>
              <w:pStyle w:val="67"/>
              <w:autoSpaceDE w:val="0"/>
              <w:autoSpaceDN w:val="0"/>
              <w:adjustRightInd w:val="0"/>
              <w:snapToGrid w:val="0"/>
              <w:spacing w:line="440" w:lineRule="exact"/>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离开工作点，呼吸新鲜空气，松开衣服静卧。</w:t>
            </w:r>
          </w:p>
          <w:p w14:paraId="34375D11">
            <w:pPr>
              <w:autoSpaceDE w:val="0"/>
              <w:autoSpaceDN w:val="0"/>
              <w:adjustRightInd w:val="0"/>
              <w:snapToGrid w:val="0"/>
              <w:spacing w:line="440" w:lineRule="exact"/>
              <w:ind w:firstLine="420" w:firstLineChars="200"/>
              <w:jc w:val="left"/>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呼吸困难者应做人工呼吸，给氧气或含二氧化碳5％～7％的氧气。心跳停止者应进行体外心脏按压，并应立即请医生急救。</w:t>
            </w:r>
          </w:p>
          <w:p w14:paraId="2B80F986">
            <w:pPr>
              <w:pStyle w:val="67"/>
              <w:autoSpaceDE w:val="0"/>
              <w:autoSpaceDN w:val="0"/>
              <w:adjustRightInd w:val="0"/>
              <w:snapToGrid w:val="0"/>
              <w:spacing w:line="440" w:lineRule="exact"/>
              <w:jc w:val="left"/>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去污染，脱去被有毒物污染的衣服：用大量清水或肥皂水清洗污染的皮肤;眼受毒物刺激时可用大量清水清洗:立即送医院治疗。</w:t>
            </w:r>
          </w:p>
          <w:p w14:paraId="4758B5E1">
            <w:pPr>
              <w:autoSpaceDE w:val="0"/>
              <w:autoSpaceDN w:val="0"/>
              <w:adjustRightInd w:val="0"/>
              <w:snapToGrid w:val="0"/>
              <w:spacing w:line="440" w:lineRule="exact"/>
              <w:ind w:firstLine="420" w:firstLineChars="200"/>
              <w:jc w:val="left"/>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在发生事故时，现场指挥部成员应及时向指挥部汇报现场情况，可能对公司内外人员安全构成威胁时，指挥部应立即下令通知各部门对无关人员进行紧急疏散。</w:t>
            </w:r>
          </w:p>
          <w:p w14:paraId="3133F49A">
            <w:pPr>
              <w:autoSpaceDE w:val="0"/>
              <w:autoSpaceDN w:val="0"/>
              <w:adjustRightInd w:val="0"/>
              <w:snapToGrid w:val="0"/>
              <w:spacing w:line="440" w:lineRule="exact"/>
              <w:ind w:firstLine="420" w:firstLineChars="200"/>
              <w:jc w:val="left"/>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14:textFill>
                  <w14:solidFill>
                    <w14:schemeClr w14:val="tx1"/>
                  </w14:solidFill>
                </w14:textFill>
              </w:rPr>
              <w:t>疏散的方向、距离和集中地点，必须根据风向标指示方向及不同事故做出具体措施，总的原则是疏散安全点处于当时的上风向。下风向疏散距离是指必须采取保护措施的范围，即该范围内的居民处于有害接触的危险之中，可以采取撤离，密闭住所窗户等有效措施，并保持通讯畅通以听从指挥。</w:t>
            </w:r>
          </w:p>
          <w:p w14:paraId="665ACFBA">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对可能威胁到公司以外的居民(包括友邻单位)安全时，指挥部应立即和地方有关部门联系，引导居民迅速撤离到安全地点。撤离到安全地点后，部门负责人清点、核对本部人数，将清点结果报告现场指挥部。</w:t>
            </w:r>
          </w:p>
          <w:p w14:paraId="498296DE">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事故应急环境监测工作由环保应急救援指挥部环境监测组统一负责。检测组应做到24 小时值班，做好应对突发情况的准备，监测仪器、药品等处于良好备用状态，随时待命。</w:t>
            </w:r>
          </w:p>
          <w:p w14:paraId="6B717F63">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一旦出现突发情况，检测组在接到调度室指令后，应迅速行动，派双人采集样品，分析数据，作为指导应急救援的依据。监测取样人员进入事故现场必须戴自给式空气呼吸器，穿戴相应防护用品，在确保安全的前提下进行取样分析。</w:t>
            </w:r>
          </w:p>
          <w:p w14:paraId="6640AFEE">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企业发生重大化学事故，一旦本单位抢险抢救力量不足，或有可能危及社会安全时指挥部必须立即向上级主管部门和有关部门领导，友邻单位通报。必要时请求支援。社会援助队伍进入厂区时，指挥部应责成专人联络，引导并告知安全注意事项。</w:t>
            </w:r>
          </w:p>
          <w:p w14:paraId="0F2DBFED">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（6）环境风险结论</w:t>
            </w:r>
          </w:p>
          <w:p w14:paraId="7CCB88F8">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项目建成后，须按照相关导则的要求编制或更新突发环境事件应急预案并报苏州市吴江生态环境局备案，并定期组织学习事故应急预案和演练，根据演习情况结合实际对预案进行适当修改。应急队伍要进行专业培训，并要有培训记录和档案。同时，加强各应急救援专业队伍的建设，配有相应器材并确保设备性能完好。一旦风险事故发生，立即启动应急预案，应急指挥系统就位，保证通讯畅通，深入现场，迅速准确报警和通知相关部门，请求应急救援，防止事故扩大，迅速遏制泄漏物进入环境。</w:t>
            </w:r>
          </w:p>
          <w:p w14:paraId="5B1F8A5C">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综上所述，本期项目涉及的危险物质属于可燃物质</w:t>
            </w:r>
            <w:r>
              <w:rPr>
                <w:rFonts w:hint="eastAsia" w:cs="Times New Roman"/>
                <w:color w:val="000000" w:themeColor="text1"/>
                <w:kern w:val="0"/>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14:textFill>
                  <w14:solidFill>
                    <w14:schemeClr w14:val="tx1"/>
                  </w14:solidFill>
                </w14:textFill>
              </w:rPr>
              <w:t>当发生泄漏、燃爆事故时，会对局部环境空气造成污染，但不会对厂界外人群造成生命威胁，在采取一系列风险防范措施后，可将事故率降至最低，同时生产中应杜绝该起事故的发生。要求建设单位严格风险防范措施，防止事故风险发生。</w:t>
            </w:r>
          </w:p>
          <w:p w14:paraId="414864F1">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通过以上风险防范措施的设立，可以较为有效地最大限度防范风险事故的发生和有效处置，并结合企业在下一步设计、运营过程中不断制定和完善的风险防范措施和应急预案，本期项目所发生的环境风险可以控制在较低的水平，风险发生概率及危害将远远低于国内同类企业水平，本期项目的事故风险处于可接受水平。</w:t>
            </w:r>
          </w:p>
          <w:p w14:paraId="4EB9206A">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8、电磁辐射</w:t>
            </w:r>
          </w:p>
          <w:p w14:paraId="6EC08CC7">
            <w:pPr>
              <w:autoSpaceDE w:val="0"/>
              <w:autoSpaceDN w:val="0"/>
              <w:adjustRightInd w:val="0"/>
              <w:snapToGrid w:val="0"/>
              <w:spacing w:line="480" w:lineRule="exact"/>
              <w:ind w:firstLine="420" w:firstLineChars="200"/>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本期项目位于苏州市</w:t>
            </w:r>
            <w: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t>吴江区平望镇平运路39号</w:t>
            </w:r>
            <w:r>
              <w:rPr>
                <w:rFonts w:hint="default" w:ascii="Times New Roman" w:hAnsi="Times New Roman" w:eastAsia="宋体" w:cs="Times New Roman"/>
                <w:color w:val="000000" w:themeColor="text1"/>
                <w:kern w:val="0"/>
                <w:szCs w:val="21"/>
                <w:highlight w:val="none"/>
                <w14:textFill>
                  <w14:solidFill>
                    <w14:schemeClr w14:val="tx1"/>
                  </w14:solidFill>
                </w14:textFill>
              </w:rPr>
              <w:t>，主要为天然气锅炉</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kern w:val="0"/>
                <w:szCs w:val="21"/>
                <w:highlight w:val="none"/>
                <w14:textFill>
                  <w14:solidFill>
                    <w14:schemeClr w14:val="tx1"/>
                  </w14:solidFill>
                </w14:textFill>
              </w:rPr>
              <w:t>。不存在电磁辐射。</w:t>
            </w:r>
          </w:p>
          <w:p w14:paraId="323CD4D0">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p w14:paraId="781E8ED9">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p w14:paraId="76B35114">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p w14:paraId="2D7B6EA1">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p w14:paraId="2A0510F9">
            <w:pPr>
              <w:autoSpaceDE w:val="0"/>
              <w:autoSpaceDN w:val="0"/>
              <w:adjustRightInd w:val="0"/>
              <w:snapToGrid w:val="0"/>
              <w:spacing w:line="480" w:lineRule="exact"/>
              <w:ind w:firstLine="422" w:firstLineChars="200"/>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r>
    </w:tbl>
    <w:p w14:paraId="0EABEBAF">
      <w:pPr>
        <w:adjustRightInd w:val="0"/>
        <w:snapToGrid w:val="0"/>
        <w:spacing w:line="360" w:lineRule="auto"/>
        <w:rPr>
          <w:rFonts w:hint="default" w:ascii="Times New Roman" w:hAnsi="Times New Roman" w:eastAsia="宋体" w:cs="Times New Roman"/>
          <w:b/>
          <w:color w:val="000000" w:themeColor="text1"/>
          <w:kern w:val="0"/>
          <w:sz w:val="28"/>
          <w:szCs w:val="28"/>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675CF2CC">
      <w:pPr>
        <w:pStyle w:val="33"/>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五、</w:t>
      </w:r>
      <w:bookmarkStart w:id="9" w:name="_Hlk54167917"/>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环境保护措施监督检查清单</w:t>
      </w:r>
      <w:bookmarkEnd w:id="9"/>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843"/>
        <w:gridCol w:w="1430"/>
        <w:gridCol w:w="2268"/>
        <w:gridCol w:w="2147"/>
      </w:tblGrid>
      <w:tr w14:paraId="6688BB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l2br w:val="single" w:color="auto" w:sz="4" w:space="0"/>
            </w:tcBorders>
          </w:tcPr>
          <w:p w14:paraId="084AEC2A">
            <w:pPr>
              <w:adjustRightInd w:val="0"/>
              <w:snapToGrid w:val="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 xml:space="preserve">    内容</w:t>
            </w:r>
          </w:p>
          <w:p w14:paraId="4F82A618">
            <w:pPr>
              <w:adjustRightInd w:val="0"/>
              <w:snapToGrid w:val="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要素</w:t>
            </w:r>
          </w:p>
        </w:tc>
        <w:tc>
          <w:tcPr>
            <w:tcW w:w="1843" w:type="dxa"/>
            <w:vAlign w:val="center"/>
          </w:tcPr>
          <w:p w14:paraId="64268FF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排放口(编号、名称)/污染源</w:t>
            </w:r>
          </w:p>
        </w:tc>
        <w:tc>
          <w:tcPr>
            <w:tcW w:w="1430" w:type="dxa"/>
            <w:vAlign w:val="center"/>
          </w:tcPr>
          <w:p w14:paraId="5D964DC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污染物项目</w:t>
            </w:r>
          </w:p>
        </w:tc>
        <w:tc>
          <w:tcPr>
            <w:tcW w:w="2268" w:type="dxa"/>
            <w:vAlign w:val="center"/>
          </w:tcPr>
          <w:p w14:paraId="3421332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环境保护措施</w:t>
            </w:r>
          </w:p>
        </w:tc>
        <w:tc>
          <w:tcPr>
            <w:tcW w:w="2147" w:type="dxa"/>
            <w:vAlign w:val="center"/>
          </w:tcPr>
          <w:p w14:paraId="5177BE5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执行标准</w:t>
            </w:r>
          </w:p>
        </w:tc>
      </w:tr>
      <w:tr w14:paraId="003693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112" w:type="dxa"/>
            <w:vMerge w:val="restart"/>
            <w:vAlign w:val="center"/>
          </w:tcPr>
          <w:p w14:paraId="702D665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大气环境</w:t>
            </w:r>
          </w:p>
        </w:tc>
        <w:tc>
          <w:tcPr>
            <w:tcW w:w="1843" w:type="dxa"/>
            <w:vMerge w:val="restart"/>
            <w:vAlign w:val="center"/>
          </w:tcPr>
          <w:p w14:paraId="28A1E25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100t/h燃气锅炉（DA004）</w:t>
            </w:r>
            <w:r>
              <w:rPr>
                <w:rFonts w:hint="default" w:ascii="Times New Roman" w:hAnsi="Times New Roman" w:eastAsia="宋体" w:cs="Times New Roman"/>
                <w:color w:val="000000" w:themeColor="text1"/>
                <w:sz w:val="18"/>
                <w:szCs w:val="18"/>
                <w:highlight w:val="none"/>
                <w14:textFill>
                  <w14:solidFill>
                    <w14:schemeClr w14:val="tx1"/>
                  </w14:solidFill>
                </w14:textFill>
              </w:rPr>
              <w:t>排气筒（</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25</w:t>
            </w:r>
            <w:r>
              <w:rPr>
                <w:rFonts w:hint="default" w:ascii="Times New Roman" w:hAnsi="Times New Roman" w:eastAsia="宋体" w:cs="Times New Roman"/>
                <w:color w:val="000000" w:themeColor="text1"/>
                <w:sz w:val="18"/>
                <w:szCs w:val="18"/>
                <w:highlight w:val="none"/>
                <w14:textFill>
                  <w14:solidFill>
                    <w14:schemeClr w14:val="tx1"/>
                  </w14:solidFill>
                </w14:textFill>
              </w:rPr>
              <w:t>m）</w:t>
            </w:r>
          </w:p>
        </w:tc>
        <w:tc>
          <w:tcPr>
            <w:tcW w:w="1430" w:type="dxa"/>
            <w:vAlign w:val="center"/>
          </w:tcPr>
          <w:p w14:paraId="4D4315C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颗粒物</w:t>
            </w:r>
          </w:p>
        </w:tc>
        <w:tc>
          <w:tcPr>
            <w:tcW w:w="2268" w:type="dxa"/>
            <w:vMerge w:val="restart"/>
            <w:vAlign w:val="center"/>
          </w:tcPr>
          <w:p w14:paraId="469D7DB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低氮燃烧后直接排放</w:t>
            </w:r>
          </w:p>
        </w:tc>
        <w:tc>
          <w:tcPr>
            <w:tcW w:w="2147" w:type="dxa"/>
            <w:vMerge w:val="restart"/>
            <w:vAlign w:val="center"/>
          </w:tcPr>
          <w:p w14:paraId="5B6EC00F">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《锅炉大气污染物排放标准》（DB32/4385-2022）表1</w:t>
            </w:r>
          </w:p>
        </w:tc>
      </w:tr>
      <w:tr w14:paraId="789843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112" w:type="dxa"/>
            <w:vMerge w:val="continue"/>
            <w:vAlign w:val="center"/>
          </w:tcPr>
          <w:p w14:paraId="1336AFC2">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843" w:type="dxa"/>
            <w:vMerge w:val="continue"/>
            <w:vAlign w:val="center"/>
          </w:tcPr>
          <w:p w14:paraId="7EC6A00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30" w:type="dxa"/>
            <w:vAlign w:val="center"/>
          </w:tcPr>
          <w:p w14:paraId="14F8F16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二氧化硫</w:t>
            </w:r>
          </w:p>
        </w:tc>
        <w:tc>
          <w:tcPr>
            <w:tcW w:w="2268" w:type="dxa"/>
            <w:vMerge w:val="continue"/>
            <w:vAlign w:val="center"/>
          </w:tcPr>
          <w:p w14:paraId="4D1E132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147" w:type="dxa"/>
            <w:vMerge w:val="continue"/>
            <w:vAlign w:val="center"/>
          </w:tcPr>
          <w:p w14:paraId="452E9459">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01AB2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vAlign w:val="center"/>
          </w:tcPr>
          <w:p w14:paraId="6B301EC6">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843" w:type="dxa"/>
            <w:vMerge w:val="continue"/>
            <w:vAlign w:val="center"/>
          </w:tcPr>
          <w:p w14:paraId="5EFB9D2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30" w:type="dxa"/>
            <w:vAlign w:val="center"/>
          </w:tcPr>
          <w:p w14:paraId="60FD9CC9">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氮氧化物</w:t>
            </w:r>
          </w:p>
        </w:tc>
        <w:tc>
          <w:tcPr>
            <w:tcW w:w="2268" w:type="dxa"/>
            <w:vMerge w:val="continue"/>
            <w:vAlign w:val="center"/>
          </w:tcPr>
          <w:p w14:paraId="715F4BC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147" w:type="dxa"/>
            <w:vMerge w:val="continue"/>
            <w:vAlign w:val="center"/>
          </w:tcPr>
          <w:p w14:paraId="1346FC6D">
            <w:pPr>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7778D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112" w:type="dxa"/>
            <w:vMerge w:val="restart"/>
            <w:vAlign w:val="center"/>
          </w:tcPr>
          <w:p w14:paraId="60CB7601">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地表水</w:t>
            </w:r>
          </w:p>
          <w:p w14:paraId="20FFCB9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环境</w:t>
            </w:r>
          </w:p>
        </w:tc>
        <w:tc>
          <w:tcPr>
            <w:tcW w:w="1843" w:type="dxa"/>
            <w:vMerge w:val="restart"/>
            <w:vAlign w:val="center"/>
          </w:tcPr>
          <w:p w14:paraId="5F327210">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酸碱废水</w:t>
            </w:r>
          </w:p>
          <w:p w14:paraId="70F353AE">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8"/>
                <w:szCs w:val="18"/>
                <w:highlight w:val="none"/>
                <w:lang w:val="en-US" w:eastAsia="zh-CN"/>
                <w14:textFill>
                  <w14:solidFill>
                    <w14:schemeClr w14:val="tx1"/>
                  </w14:solidFill>
                </w14:textFill>
              </w:rPr>
              <w:t>反渗透浓水</w:t>
            </w:r>
          </w:p>
        </w:tc>
        <w:tc>
          <w:tcPr>
            <w:tcW w:w="1430" w:type="dxa"/>
            <w:vAlign w:val="center"/>
          </w:tcPr>
          <w:p w14:paraId="0F8EAAFF">
            <w:pPr>
              <w:adjustRightInd w:val="0"/>
              <w:snapToGrid w:val="0"/>
              <w:spacing w:line="240" w:lineRule="exact"/>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PH</w:t>
            </w:r>
          </w:p>
        </w:tc>
        <w:tc>
          <w:tcPr>
            <w:tcW w:w="2268" w:type="dxa"/>
            <w:vMerge w:val="restart"/>
            <w:vAlign w:val="center"/>
          </w:tcPr>
          <w:p w14:paraId="048CE89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酸碱废水</w:t>
            </w:r>
            <w:r>
              <w:rPr>
                <w:rFonts w:hint="eastAsia" w:cs="Times New Roman"/>
                <w:color w:val="000000" w:themeColor="text1"/>
                <w:sz w:val="18"/>
                <w:szCs w:val="18"/>
                <w:highlight w:val="none"/>
                <w:lang w:val="en-US" w:eastAsia="zh-CN"/>
                <w14:textFill>
                  <w14:solidFill>
                    <w14:schemeClr w14:val="tx1"/>
                  </w14:solidFill>
                </w14:textFill>
              </w:rPr>
              <w:t>、反渗透浓水</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经厂区现有污水处理站处理后与</w:t>
            </w:r>
            <w:r>
              <w:rPr>
                <w:rFonts w:hint="eastAsia" w:cs="Times New Roman"/>
                <w:color w:val="000000" w:themeColor="text1"/>
                <w:sz w:val="18"/>
                <w:szCs w:val="18"/>
                <w:highlight w:val="none"/>
                <w:lang w:val="en-US" w:eastAsia="zh-CN"/>
                <w14:textFill>
                  <w14:solidFill>
                    <w14:schemeClr w14:val="tx1"/>
                  </w14:solidFill>
                </w14:textFill>
              </w:rPr>
              <w:t>现有</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冷却塔排水一同进入平望镇</w:t>
            </w:r>
            <w:r>
              <w:rPr>
                <w:rFonts w:hint="default" w:ascii="Times New Roman" w:hAnsi="Times New Roman" w:eastAsia="宋体" w:cs="Times New Roman"/>
                <w:color w:val="000000" w:themeColor="text1"/>
                <w:sz w:val="18"/>
                <w:szCs w:val="18"/>
                <w:highlight w:val="none"/>
                <w14:textFill>
                  <w14:solidFill>
                    <w14:schemeClr w14:val="tx1"/>
                  </w14:solidFill>
                </w14:textFill>
              </w:rPr>
              <w:t>污水处理厂处理</w:t>
            </w:r>
          </w:p>
        </w:tc>
        <w:tc>
          <w:tcPr>
            <w:tcW w:w="2147" w:type="dxa"/>
            <w:vMerge w:val="restart"/>
            <w:vAlign w:val="center"/>
          </w:tcPr>
          <w:p w14:paraId="35EB1E8E">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《污水综合排放标准》（GB8978-1996）</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表4三级标准</w:t>
            </w:r>
          </w:p>
        </w:tc>
      </w:tr>
      <w:tr w14:paraId="07A0F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112" w:type="dxa"/>
            <w:vMerge w:val="continue"/>
            <w:vAlign w:val="center"/>
          </w:tcPr>
          <w:p w14:paraId="5260141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843" w:type="dxa"/>
            <w:vMerge w:val="continue"/>
            <w:vAlign w:val="center"/>
          </w:tcPr>
          <w:p w14:paraId="5825BF99">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1430" w:type="dxa"/>
            <w:vAlign w:val="center"/>
          </w:tcPr>
          <w:p w14:paraId="2A576715">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COD</w:t>
            </w:r>
          </w:p>
        </w:tc>
        <w:tc>
          <w:tcPr>
            <w:tcW w:w="2268" w:type="dxa"/>
            <w:vMerge w:val="continue"/>
            <w:vAlign w:val="center"/>
          </w:tcPr>
          <w:p w14:paraId="0DE1A604">
            <w:pPr>
              <w:adjustRightInd w:val="0"/>
              <w:snapToGrid w:val="0"/>
              <w:jc w:val="cente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pPr>
          </w:p>
        </w:tc>
        <w:tc>
          <w:tcPr>
            <w:tcW w:w="2147" w:type="dxa"/>
            <w:vMerge w:val="continue"/>
            <w:vAlign w:val="center"/>
          </w:tcPr>
          <w:p w14:paraId="7F935BB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188C22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112" w:type="dxa"/>
            <w:vMerge w:val="continue"/>
            <w:vAlign w:val="center"/>
          </w:tcPr>
          <w:p w14:paraId="2EE8EED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843" w:type="dxa"/>
            <w:vMerge w:val="continue"/>
            <w:vAlign w:val="center"/>
          </w:tcPr>
          <w:p w14:paraId="2065A12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1430" w:type="dxa"/>
            <w:vAlign w:val="center"/>
          </w:tcPr>
          <w:p w14:paraId="22538715">
            <w:pPr>
              <w:adjustRightInd w:val="0"/>
              <w:snapToGrid w:val="0"/>
              <w:spacing w:line="240" w:lineRule="exact"/>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SS</w:t>
            </w:r>
          </w:p>
        </w:tc>
        <w:tc>
          <w:tcPr>
            <w:tcW w:w="2268" w:type="dxa"/>
            <w:vMerge w:val="continue"/>
            <w:vAlign w:val="center"/>
          </w:tcPr>
          <w:p w14:paraId="47507330">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c>
          <w:tcPr>
            <w:tcW w:w="2147" w:type="dxa"/>
            <w:vMerge w:val="continue"/>
            <w:vAlign w:val="center"/>
          </w:tcPr>
          <w:p w14:paraId="5F1B356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p>
        </w:tc>
      </w:tr>
      <w:tr w14:paraId="66E993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112" w:type="dxa"/>
            <w:vAlign w:val="center"/>
          </w:tcPr>
          <w:p w14:paraId="7125FA6B">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声环境</w:t>
            </w:r>
          </w:p>
        </w:tc>
        <w:tc>
          <w:tcPr>
            <w:tcW w:w="1843" w:type="dxa"/>
            <w:vAlign w:val="center"/>
          </w:tcPr>
          <w:p w14:paraId="2DBC39F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燃气锅炉</w:t>
            </w:r>
          </w:p>
        </w:tc>
        <w:tc>
          <w:tcPr>
            <w:tcW w:w="1430" w:type="dxa"/>
            <w:vAlign w:val="center"/>
          </w:tcPr>
          <w:p w14:paraId="23C5CEA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噪声</w:t>
            </w:r>
          </w:p>
        </w:tc>
        <w:tc>
          <w:tcPr>
            <w:tcW w:w="2268" w:type="dxa"/>
            <w:vAlign w:val="center"/>
          </w:tcPr>
          <w:p w14:paraId="54BAC26D">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选用低噪声设备，利用实体墙隔声、合理平面布局，绿化降噪</w:t>
            </w:r>
          </w:p>
        </w:tc>
        <w:tc>
          <w:tcPr>
            <w:tcW w:w="2147" w:type="dxa"/>
            <w:vAlign w:val="center"/>
          </w:tcPr>
          <w:p w14:paraId="2EB0ABC8">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达到《工业企业厂界环境噪声排放标准》（GB12348-2008）2类</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3类、4a类</w:t>
            </w:r>
            <w:r>
              <w:rPr>
                <w:rFonts w:hint="default" w:ascii="Times New Roman" w:hAnsi="Times New Roman" w:eastAsia="宋体" w:cs="Times New Roman"/>
                <w:color w:val="000000" w:themeColor="text1"/>
                <w:sz w:val="18"/>
                <w:szCs w:val="18"/>
                <w:highlight w:val="none"/>
                <w14:textFill>
                  <w14:solidFill>
                    <w14:schemeClr w14:val="tx1"/>
                  </w14:solidFill>
                </w14:textFill>
              </w:rPr>
              <w:t>标准排放</w:t>
            </w:r>
          </w:p>
        </w:tc>
      </w:tr>
      <w:tr w14:paraId="0A020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Align w:val="center"/>
          </w:tcPr>
          <w:p w14:paraId="0005E6BA">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电磁辐射</w:t>
            </w:r>
          </w:p>
        </w:tc>
        <w:tc>
          <w:tcPr>
            <w:tcW w:w="7688" w:type="dxa"/>
            <w:gridSpan w:val="4"/>
            <w:vAlign w:val="center"/>
          </w:tcPr>
          <w:p w14:paraId="5EF104B7">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无</w:t>
            </w:r>
          </w:p>
        </w:tc>
      </w:tr>
      <w:tr w14:paraId="63A792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112" w:type="dxa"/>
            <w:vAlign w:val="center"/>
          </w:tcPr>
          <w:p w14:paraId="0ABB49A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固体废物</w:t>
            </w:r>
          </w:p>
        </w:tc>
        <w:tc>
          <w:tcPr>
            <w:tcW w:w="7688" w:type="dxa"/>
            <w:gridSpan w:val="4"/>
            <w:vAlign w:val="center"/>
          </w:tcPr>
          <w:p w14:paraId="3BA46D0B">
            <w:pPr>
              <w:adjustRightInd w:val="0"/>
              <w:snapToGrid w:val="0"/>
              <w:ind w:firstLine="360" w:firstLineChars="200"/>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eastAsia" w:cs="Times New Roman"/>
                <w:color w:val="000000" w:themeColor="text1"/>
                <w:sz w:val="18"/>
                <w:szCs w:val="18"/>
                <w:highlight w:val="none"/>
                <w:lang w:val="en-US" w:eastAsia="zh-CN"/>
                <w14:textFill>
                  <w14:solidFill>
                    <w14:schemeClr w14:val="tx1"/>
                  </w14:solidFill>
                </w14:textFill>
              </w:rPr>
              <w:t>超滤及反渗透膜</w:t>
            </w:r>
            <w:r>
              <w:rPr>
                <w:rFonts w:hint="default" w:ascii="Times New Roman" w:hAnsi="Times New Roman" w:eastAsia="宋体" w:cs="Times New Roman"/>
                <w:color w:val="000000" w:themeColor="text1"/>
                <w:sz w:val="18"/>
                <w:szCs w:val="18"/>
                <w:highlight w:val="none"/>
                <w14:textFill>
                  <w14:solidFill>
                    <w14:schemeClr w14:val="tx1"/>
                  </w14:solidFill>
                </w14:textFill>
              </w:rPr>
              <w:t>收集后</w:t>
            </w:r>
            <w:r>
              <w:rPr>
                <w:rFonts w:hint="eastAsia" w:cs="Times New Roman"/>
                <w:color w:val="000000" w:themeColor="text1"/>
                <w:sz w:val="18"/>
                <w:szCs w:val="18"/>
                <w:highlight w:val="none"/>
                <w:lang w:val="en-US" w:eastAsia="zh-CN"/>
                <w14:textFill>
                  <w14:solidFill>
                    <w14:schemeClr w14:val="tx1"/>
                  </w14:solidFill>
                </w14:textFill>
              </w:rPr>
              <w:t>委外处理</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污泥作为本厂区的绿化用泥综合利用</w:t>
            </w:r>
            <w:r>
              <w:rPr>
                <w:rFonts w:hint="default" w:ascii="Times New Roman" w:hAnsi="Times New Roman" w:eastAsia="宋体" w:cs="Times New Roman"/>
                <w:color w:val="000000" w:themeColor="text1"/>
                <w:sz w:val="18"/>
                <w:szCs w:val="18"/>
                <w:highlight w:val="none"/>
                <w14:textFill>
                  <w14:solidFill>
                    <w14:schemeClr w14:val="tx1"/>
                  </w14:solidFill>
                </w14:textFill>
              </w:rPr>
              <w:t>；</w:t>
            </w:r>
            <w:r>
              <w:rPr>
                <w:rFonts w:hint="default" w:ascii="Times New Roman" w:hAnsi="Times New Roman" w:eastAsia="宋体" w:cs="Times New Roman"/>
                <w:color w:val="000000" w:themeColor="text1"/>
                <w:sz w:val="18"/>
                <w:szCs w:val="18"/>
                <w:highlight w:val="none"/>
                <w:lang w:val="en-US" w:eastAsia="zh-CN"/>
                <w14:textFill>
                  <w14:solidFill>
                    <w14:schemeClr w14:val="tx1"/>
                  </w14:solidFill>
                </w14:textFill>
              </w:rPr>
              <w:t>废离子交换树脂</w:t>
            </w:r>
            <w:r>
              <w:rPr>
                <w:rFonts w:hint="default" w:ascii="Times New Roman" w:hAnsi="Times New Roman" w:eastAsia="宋体" w:cs="Times New Roman"/>
                <w:color w:val="000000" w:themeColor="text1"/>
                <w:sz w:val="18"/>
                <w:szCs w:val="18"/>
                <w:highlight w:val="none"/>
                <w14:textFill>
                  <w14:solidFill>
                    <w14:schemeClr w14:val="tx1"/>
                  </w14:solidFill>
                </w14:textFill>
              </w:rPr>
              <w:t>委托有资质单位处置</w:t>
            </w:r>
            <w: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t>。</w:t>
            </w:r>
          </w:p>
          <w:p w14:paraId="6A1AA2F2">
            <w:pPr>
              <w:adjustRightInd w:val="0"/>
              <w:snapToGrid w:val="0"/>
              <w:ind w:firstLine="360" w:firstLineChars="200"/>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员工的生活垃圾委托环卫部门统一处置。</w:t>
            </w:r>
          </w:p>
        </w:tc>
      </w:tr>
      <w:tr w14:paraId="5BA93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12" w:type="dxa"/>
            <w:vAlign w:val="center"/>
          </w:tcPr>
          <w:p w14:paraId="32F8BC84">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土壤及地下水污染防治措施</w:t>
            </w:r>
          </w:p>
        </w:tc>
        <w:tc>
          <w:tcPr>
            <w:tcW w:w="7688" w:type="dxa"/>
            <w:gridSpan w:val="4"/>
            <w:vAlign w:val="center"/>
          </w:tcPr>
          <w:p w14:paraId="764DF89C">
            <w:pPr>
              <w:adjustRightInd w:val="0"/>
              <w:snapToGrid w:val="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（1）源头控制措施：减少污染物的排放量；提出工艺、管道、设备储存应采取的污染控制措施，制定渗漏监测方案；优化生产工艺、提高废物循环利用效率。</w:t>
            </w:r>
          </w:p>
          <w:p w14:paraId="345AA8DF">
            <w:pPr>
              <w:adjustRightInd w:val="0"/>
              <w:snapToGrid w:val="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（2）分区防控措施：为了最大限度降低生产过程中有毒有害物料的跑冒滴漏，防止地下水污染，项目将按简单防渗区、一般防渗区、重点防渗区设计考虑了相应的控制措施，采取不同等级的防渗措施：①</w:t>
            </w:r>
            <w:r>
              <w:rPr>
                <w:rFonts w:hint="default" w:ascii="Times New Roman" w:hAnsi="Times New Roman" w:eastAsia="宋体" w:cs="Times New Roman"/>
                <w:color w:val="000000" w:themeColor="text1"/>
                <w:sz w:val="18"/>
                <w:szCs w:val="18"/>
                <w:highlight w:val="none"/>
                <w14:textFill>
                  <w14:solidFill>
                    <w14:schemeClr w14:val="tx1"/>
                  </w14:solidFill>
                </w14:textFill>
              </w:rPr>
              <w:tab/>
            </w:r>
            <w:r>
              <w:rPr>
                <w:rFonts w:hint="default" w:ascii="Times New Roman" w:hAnsi="Times New Roman" w:eastAsia="宋体" w:cs="Times New Roman"/>
                <w:color w:val="000000" w:themeColor="text1"/>
                <w:sz w:val="18"/>
                <w:szCs w:val="18"/>
                <w:highlight w:val="none"/>
                <w14:textFill>
                  <w14:solidFill>
                    <w14:schemeClr w14:val="tx1"/>
                  </w14:solidFill>
                </w14:textFill>
              </w:rPr>
              <w:t>一般污染防治区（一般工业固废暂存场所）防渗设计要求参照《一般工业固体废物贮存和填埋污染控制标准》（GB18599-2020）。②重点污染防治区（危废仓库、废水处理区、喷涂区）防渗设计要求参照《危险废物填埋污染控制标准》（GB18598-2001）。</w:t>
            </w:r>
          </w:p>
        </w:tc>
      </w:tr>
      <w:tr w14:paraId="27E9A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12" w:type="dxa"/>
            <w:vAlign w:val="center"/>
          </w:tcPr>
          <w:p w14:paraId="4567F15E">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生态保护措施</w:t>
            </w:r>
          </w:p>
        </w:tc>
        <w:tc>
          <w:tcPr>
            <w:tcW w:w="7688" w:type="dxa"/>
            <w:gridSpan w:val="4"/>
            <w:vAlign w:val="center"/>
          </w:tcPr>
          <w:p w14:paraId="43348D05">
            <w:pPr>
              <w:adjustRightInd w:val="0"/>
              <w:snapToGrid w:val="0"/>
              <w:jc w:val="center"/>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周围可以种植绿化带，不仅可以清洁空气，还可以起到美化环境、降低噪声的作用。</w:t>
            </w:r>
          </w:p>
        </w:tc>
      </w:tr>
      <w:tr w14:paraId="65B975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1112" w:type="dxa"/>
            <w:vAlign w:val="center"/>
          </w:tcPr>
          <w:p w14:paraId="261C85EB">
            <w:pPr>
              <w:adjustRightInd w:val="0"/>
              <w:snapToGrid w:val="0"/>
              <w:jc w:val="cente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环境风险</w:t>
            </w:r>
          </w:p>
          <w:p w14:paraId="0C7E06D4">
            <w:pPr>
              <w:adjustRightInd w:val="0"/>
              <w:snapToGrid w:val="0"/>
              <w:jc w:val="cente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防范措施</w:t>
            </w:r>
          </w:p>
        </w:tc>
        <w:tc>
          <w:tcPr>
            <w:tcW w:w="7688" w:type="dxa"/>
            <w:gridSpan w:val="4"/>
            <w:vAlign w:val="center"/>
          </w:tcPr>
          <w:p w14:paraId="3BC99AD3">
            <w:pPr>
              <w:adjustRightInd w:val="0"/>
              <w:snapToGrid w:val="0"/>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预防和减少突发环境事件的发生，控制、减轻和消除突发环境事件引起的危害，规范突发环境事件应急管理工作，保障公众生命、环境和财产的安全。本次评价要求项目在生产运营过程中要注意做好原辅料和危险固废存放、管理等各项安全措施，生产过程防止出现热源和明火，保证周围环境通风、干燥，应加强车间内的通风次数。</w:t>
            </w:r>
          </w:p>
        </w:tc>
      </w:tr>
      <w:tr w14:paraId="50AF64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112" w:type="dxa"/>
            <w:vAlign w:val="center"/>
          </w:tcPr>
          <w:p w14:paraId="5DCECAEF">
            <w:pPr>
              <w:adjustRightInd w:val="0"/>
              <w:snapToGrid w:val="0"/>
              <w:jc w:val="cente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其他环境</w:t>
            </w:r>
          </w:p>
          <w:p w14:paraId="30346969">
            <w:pPr>
              <w:adjustRightInd w:val="0"/>
              <w:snapToGrid w:val="0"/>
              <w:jc w:val="cente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pPr>
            <w:r>
              <w:rPr>
                <w:rFonts w:hint="default" w:ascii="Times New Roman" w:hAnsi="Times New Roman" w:eastAsia="宋体" w:cs="Times New Roman"/>
                <w:color w:val="000000" w:themeColor="text1"/>
                <w:spacing w:val="-8"/>
                <w:sz w:val="18"/>
                <w:szCs w:val="18"/>
                <w:highlight w:val="none"/>
                <w14:textFill>
                  <w14:solidFill>
                    <w14:schemeClr w14:val="tx1"/>
                  </w14:solidFill>
                </w14:textFill>
              </w:rPr>
              <w:t>管理要求</w:t>
            </w:r>
          </w:p>
        </w:tc>
        <w:tc>
          <w:tcPr>
            <w:tcW w:w="7688" w:type="dxa"/>
            <w:gridSpan w:val="4"/>
            <w:vAlign w:val="center"/>
          </w:tcPr>
          <w:p w14:paraId="1F9EAACB">
            <w:pPr>
              <w:adjustRightInd w:val="0"/>
              <w:snapToGrid w:val="0"/>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（一）环境管理</w:t>
            </w:r>
          </w:p>
          <w:p w14:paraId="4DF49A8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1、固定污染源排污许可管类别判定</w:t>
            </w:r>
          </w:p>
          <w:p w14:paraId="60630718">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本期项目行业类别为“热力生产和供应”，根据《固定污染源排污许可分类管理名录》（2019年版）相关规定履行排污许可手续。</w:t>
            </w:r>
          </w:p>
          <w:p w14:paraId="424901AB">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2、污染治理设施的管理、监控制度</w:t>
            </w:r>
          </w:p>
          <w:p w14:paraId="75D5BAD9">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建设单位需建立一套完善的环保管理制度，包括固体废物储存管理制度、污染治理设施运行管理制度等。配备专业环保管理人员。建立健全污染治理设施的运行、检修、维护保养的作业规程和管理制度，同时切实落实各项环保治理措施，并保证正常运行，确保各项污染物达标排放。不得擅自拆除或者闲置污染治理设施，不得故意不正常使用污染治理设施。污染治理设施的管理必须与生产、检测活动一起纳入单位日常管理工作的范畴，有效落实责任人、操作人员、维修人员、运行经费等。同时要建立岗位责任制、制定操作规程、建立管理 台账。</w:t>
            </w:r>
          </w:p>
          <w:p w14:paraId="327B657D">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3、台账制度</w:t>
            </w:r>
          </w:p>
          <w:p w14:paraId="5FA45173">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（1）生产信息台账：记录主要原料消耗、生产产量等基本生产信息。</w:t>
            </w:r>
          </w:p>
          <w:p w14:paraId="017CA0BF">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2）污染防治措施运维台账：废气治理设施的合同、操作手册、运维记录及二次污染物的处置记录，生产和治污设施运行的关键参数；按照《一般工业固体废物管理台账制定指南（试行）》（生态环境部公告2021年第82号）、《危险废物管理计划和管理台账制定技术导则》（HJ259-2022）等未建要求记录固废分类收集、分区贮存、密闭包装、贮存时间、清运频次、责任人等运行管理情况台账；参照《排污许可证申请与核发规范 工业噪声》（HJ1301-2023）要求记录手工监测时段信息、噪声污染防治设施维修和更换情况等信息；自行监测报告等，各类台账保存期限不少于3年，一般工业固废、危险废物、工业噪声管理台账不得少于5年。</w:t>
            </w:r>
          </w:p>
          <w:p w14:paraId="667B2CA0">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（二）排污口规范化设置</w:t>
            </w:r>
          </w:p>
          <w:p w14:paraId="6C995D3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排污口应根据 《江苏省排污口设置及规范化整治管理办法》（苏环控[1997]122号）的相关要求设置。</w:t>
            </w:r>
          </w:p>
          <w:p w14:paraId="523E4DFB">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危废暂存间标识牌按照《危险废物贮存污染控制标准》（GB18597-2023）和《省生态环境厅关于印发&lt;江苏省固体废物全过程环境监管工作意见&gt;的通知》（苏环办[2021]16号）等文件执行。</w:t>
            </w:r>
          </w:p>
          <w:p w14:paraId="37523E49">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（三）“三同时”验收</w:t>
            </w:r>
          </w:p>
          <w:p w14:paraId="46F8F0ED">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r>
              <w:rPr>
                <w:rFonts w:hint="default" w:ascii="Times New Roman" w:hAnsi="Times New Roman" w:eastAsia="宋体" w:cs="Times New Roman"/>
                <w:color w:val="000000" w:themeColor="text1"/>
                <w:sz w:val="18"/>
                <w:szCs w:val="18"/>
                <w:highlight w:val="none"/>
                <w14:textFill>
                  <w14:solidFill>
                    <w14:schemeClr w14:val="tx1"/>
                  </w14:solidFill>
                </w14:textFill>
              </w:rPr>
              <w:t>在项目筹备、设计和施工不同阶段，均应严格执行“三同时”制度，确保污染处理设施能够与生产工艺设施“同时设计、同时施工、同时竣工”。</w:t>
            </w:r>
          </w:p>
          <w:p w14:paraId="1471720B">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A145D52">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3185F996">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3BDF42A5">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3E956422">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615403D0">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66F9D39">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794A63F">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3A8DAF6">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CFA7EE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DAEAAB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8399DE8">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3244D0A1">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5681DDC">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DC16B45">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387DC3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170437F">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5788C7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092D34A5">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13A7133">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EF1514B">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1D1DF0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83376A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F7A80F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0F1219C">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3585E25">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7E7ADEE">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01FCD41">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9FE291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64C16DE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2743AE26">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3FFB5B06">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26E373B1">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2EC4BD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F04D0D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0D74568E">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7F3D3A7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5464B02">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63BB92F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42FFFAA">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7CC815E">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A3ED40E">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410A48FE">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0DAB1CC7">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1C89D386">
            <w:pPr>
              <w:ind w:firstLine="360" w:firstLineChars="200"/>
              <w:jc w:val="left"/>
              <w:rPr>
                <w:rFonts w:hint="default" w:ascii="Times New Roman" w:hAnsi="Times New Roman" w:eastAsia="宋体" w:cs="Times New Roman"/>
                <w:color w:val="000000" w:themeColor="text1"/>
                <w:sz w:val="18"/>
                <w:szCs w:val="18"/>
                <w:highlight w:val="none"/>
                <w14:textFill>
                  <w14:solidFill>
                    <w14:schemeClr w14:val="tx1"/>
                  </w14:solidFill>
                </w14:textFill>
              </w:rPr>
            </w:pPr>
          </w:p>
          <w:p w14:paraId="5727A87E">
            <w:pPr>
              <w:ind w:firstLine="420" w:firstLineChars="200"/>
              <w:jc w:val="left"/>
              <w:rPr>
                <w:rFonts w:hint="default" w:ascii="Times New Roman" w:hAnsi="Times New Roman" w:eastAsia="宋体" w:cs="Times New Roman"/>
                <w:color w:val="000000" w:themeColor="text1"/>
                <w:highlight w:val="none"/>
                <w14:textFill>
                  <w14:solidFill>
                    <w14:schemeClr w14:val="tx1"/>
                  </w14:solidFill>
                </w14:textFill>
              </w:rPr>
            </w:pPr>
          </w:p>
        </w:tc>
      </w:tr>
    </w:tbl>
    <w:p w14:paraId="48D20C27">
      <w:pPr>
        <w:pStyle w:val="33"/>
        <w:outlineLvl w:val="0"/>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宋体" w:cs="Times New Roman"/>
          <w:snapToGrid w:val="0"/>
          <w:color w:val="000000" w:themeColor="text1"/>
          <w:highlight w:val="none"/>
          <w14:textFill>
            <w14:solidFill>
              <w14:schemeClr w14:val="tx1"/>
            </w14:solidFill>
          </w14:textFill>
        </w:rPr>
        <w:br w:type="page"/>
      </w:r>
      <w:r>
        <w:rPr>
          <w:rFonts w:hint="default" w:ascii="Times New Roman" w:hAnsi="Times New Roman" w:eastAsia="宋体" w:cs="Times New Roman"/>
          <w:snapToGrid w:val="0"/>
          <w:color w:val="000000" w:themeColor="text1"/>
          <w:sz w:val="30"/>
          <w:szCs w:val="30"/>
          <w:highlight w:val="none"/>
          <w14:textFill>
            <w14:solidFill>
              <w14:schemeClr w14:val="tx1"/>
            </w14:solidFill>
          </w14:textFill>
        </w:rPr>
        <w:t>六、结论</w:t>
      </w:r>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2E24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2C904B07">
            <w:pPr>
              <w:spacing w:line="480" w:lineRule="exact"/>
              <w:ind w:firstLine="42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 xml:space="preserve">通过对本期项目所在地区的环境现状评价以及对项目的环境影响进行分析，在落实报告提出的各项污染措施的前提下，认为本期项目对周围环境的影响可控制在允许范围内，具有环境可行性。 </w:t>
            </w:r>
          </w:p>
        </w:tc>
      </w:tr>
    </w:tbl>
    <w:p w14:paraId="57A44368">
      <w:pPr>
        <w:rPr>
          <w:rFonts w:hint="default" w:ascii="Times New Roman" w:hAnsi="Times New Roman" w:eastAsia="宋体" w:cs="Times New Roman"/>
          <w:color w:val="000000" w:themeColor="text1"/>
          <w:highlight w:val="none"/>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6453298D">
      <w:pPr>
        <w:pStyle w:val="33"/>
        <w:adjustRightInd w:val="0"/>
        <w:snapToGrid w:val="0"/>
        <w:spacing w:before="0" w:beforeAutospacing="0" w:after="0" w:afterAutospacing="0" w:line="480" w:lineRule="exact"/>
        <w:outlineLvl w:val="0"/>
        <w:rPr>
          <w:rFonts w:hint="default" w:ascii="Times New Roman" w:hAnsi="Times New Roman" w:eastAsia="宋体" w:cs="Times New Roman"/>
          <w:snapToGrid w:val="0"/>
          <w:color w:val="000000" w:themeColor="text1"/>
          <w:sz w:val="32"/>
          <w:szCs w:val="32"/>
          <w:highlight w:val="none"/>
          <w14:textFill>
            <w14:solidFill>
              <w14:schemeClr w14:val="tx1"/>
            </w14:solidFill>
          </w14:textFill>
        </w:rPr>
      </w:pPr>
      <w:r>
        <w:rPr>
          <w:rFonts w:hint="default" w:ascii="Times New Roman" w:hAnsi="Times New Roman" w:eastAsia="宋体" w:cs="Times New Roman"/>
          <w:snapToGrid w:val="0"/>
          <w:color w:val="000000" w:themeColor="text1"/>
          <w:sz w:val="32"/>
          <w:szCs w:val="32"/>
          <w:highlight w:val="none"/>
          <w14:textFill>
            <w14:solidFill>
              <w14:schemeClr w14:val="tx1"/>
            </w14:solidFill>
          </w14:textFill>
        </w:rPr>
        <w:t>附表</w:t>
      </w:r>
    </w:p>
    <w:p w14:paraId="341CCF67">
      <w:pPr>
        <w:pStyle w:val="33"/>
        <w:adjustRightInd w:val="0"/>
        <w:snapToGrid w:val="0"/>
        <w:spacing w:before="0" w:beforeAutospacing="0" w:after="0" w:afterAutospacing="0" w:line="480" w:lineRule="exact"/>
        <w:jc w:val="center"/>
        <w:outlineLvl w:val="0"/>
        <w:rPr>
          <w:rFonts w:hint="default" w:ascii="Times New Roman" w:hAnsi="Times New Roman" w:eastAsia="宋体" w:cs="Times New Roman"/>
          <w:snapToGrid w:val="0"/>
          <w:color w:val="000000" w:themeColor="text1"/>
          <w:sz w:val="38"/>
          <w:szCs w:val="38"/>
          <w:highlight w:val="none"/>
          <w14:textFill>
            <w14:solidFill>
              <w14:schemeClr w14:val="tx1"/>
            </w14:solidFill>
          </w14:textFill>
        </w:rPr>
      </w:pPr>
      <w:r>
        <w:rPr>
          <w:rFonts w:hint="default" w:ascii="Times New Roman" w:hAnsi="Times New Roman" w:eastAsia="宋体" w:cs="Times New Roman"/>
          <w:snapToGrid w:val="0"/>
          <w:color w:val="000000" w:themeColor="text1"/>
          <w:sz w:val="38"/>
          <w:szCs w:val="38"/>
          <w:highlight w:val="none"/>
          <w14:textFill>
            <w14:solidFill>
              <w14:schemeClr w14:val="tx1"/>
            </w14:solidFill>
          </w14:textFill>
        </w:rPr>
        <w:t>建设项目污染物排放量汇总表</w:t>
      </w:r>
    </w:p>
    <w:tbl>
      <w:tblPr>
        <w:tblStyle w:val="36"/>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506"/>
        <w:gridCol w:w="1279"/>
      </w:tblGrid>
      <w:tr w14:paraId="3252DD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1588" w:type="dxa"/>
            <w:tcBorders>
              <w:top w:val="single" w:color="auto" w:sz="8" w:space="0"/>
              <w:bottom w:val="single" w:color="auto" w:sz="4" w:space="0"/>
              <w:tl2br w:val="single" w:color="auto" w:sz="4" w:space="0"/>
            </w:tcBorders>
            <w:shd w:val="clear" w:color="auto" w:fill="auto"/>
            <w:tcMar>
              <w:left w:w="28" w:type="dxa"/>
              <w:right w:w="28" w:type="dxa"/>
            </w:tcMar>
            <w:vAlign w:val="center"/>
          </w:tcPr>
          <w:p w14:paraId="0FC09F95">
            <w:pPr>
              <w:pStyle w:val="55"/>
              <w:spacing w:beforeLines="0" w:afterLines="0" w:line="240" w:lineRule="exact"/>
              <w:jc w:val="righ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项目</w:t>
            </w:r>
          </w:p>
          <w:p w14:paraId="6B337441">
            <w:pPr>
              <w:pStyle w:val="55"/>
              <w:spacing w:beforeLines="0" w:afterLines="0" w:line="240" w:lineRule="exact"/>
              <w:jc w:val="lef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分类</w:t>
            </w:r>
          </w:p>
        </w:tc>
        <w:tc>
          <w:tcPr>
            <w:tcW w:w="1417" w:type="dxa"/>
            <w:tcBorders>
              <w:top w:val="single" w:color="auto" w:sz="8" w:space="0"/>
              <w:bottom w:val="single" w:color="auto" w:sz="4" w:space="0"/>
            </w:tcBorders>
            <w:shd w:val="clear" w:color="auto" w:fill="auto"/>
            <w:tcMar>
              <w:left w:w="28" w:type="dxa"/>
              <w:right w:w="28" w:type="dxa"/>
            </w:tcMar>
            <w:vAlign w:val="center"/>
          </w:tcPr>
          <w:p w14:paraId="36672603">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污染物名称</w:t>
            </w:r>
          </w:p>
        </w:tc>
        <w:tc>
          <w:tcPr>
            <w:tcW w:w="1701" w:type="dxa"/>
            <w:tcBorders>
              <w:top w:val="single" w:color="auto" w:sz="8" w:space="0"/>
              <w:bottom w:val="single" w:color="auto" w:sz="4" w:space="0"/>
            </w:tcBorders>
            <w:shd w:val="clear" w:color="auto" w:fill="auto"/>
            <w:tcMar>
              <w:left w:w="28" w:type="dxa"/>
              <w:right w:w="28" w:type="dxa"/>
            </w:tcMar>
            <w:vAlign w:val="center"/>
          </w:tcPr>
          <w:p w14:paraId="4825CB41">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现有工程</w:t>
            </w:r>
          </w:p>
          <w:p w14:paraId="42A02FFB">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instrText xml:space="preserve"> = 1 \* GB3 \* MERGEFORMAT </w:instrTex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①</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end"/>
            </w:r>
          </w:p>
        </w:tc>
        <w:tc>
          <w:tcPr>
            <w:tcW w:w="1276" w:type="dxa"/>
            <w:tcBorders>
              <w:top w:val="single" w:color="auto" w:sz="8" w:space="0"/>
              <w:bottom w:val="single" w:color="auto" w:sz="4" w:space="0"/>
            </w:tcBorders>
            <w:shd w:val="clear" w:color="auto" w:fill="auto"/>
            <w:tcMar>
              <w:left w:w="28" w:type="dxa"/>
              <w:right w:w="28" w:type="dxa"/>
            </w:tcMar>
            <w:vAlign w:val="center"/>
          </w:tcPr>
          <w:p w14:paraId="23F2BD15">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现有工程</w:t>
            </w:r>
          </w:p>
          <w:p w14:paraId="06C94058">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许可排放量</w:t>
            </w:r>
          </w:p>
          <w:p w14:paraId="771467ED">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instrText xml:space="preserve"> = 2 \* GB3 \* MERGEFORMAT </w:instrTex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②</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end"/>
            </w:r>
          </w:p>
        </w:tc>
        <w:tc>
          <w:tcPr>
            <w:tcW w:w="1701" w:type="dxa"/>
            <w:tcBorders>
              <w:top w:val="single" w:color="auto" w:sz="8" w:space="0"/>
              <w:bottom w:val="single" w:color="auto" w:sz="4" w:space="0"/>
            </w:tcBorders>
            <w:shd w:val="clear" w:color="auto" w:fill="auto"/>
            <w:tcMar>
              <w:left w:w="28" w:type="dxa"/>
              <w:right w:w="28" w:type="dxa"/>
            </w:tcMar>
            <w:vAlign w:val="center"/>
          </w:tcPr>
          <w:p w14:paraId="7AC2DA33">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在建工程</w:t>
            </w:r>
          </w:p>
          <w:p w14:paraId="6E10CCB1">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instrText xml:space="preserve"> = 3 \* GB3 \* MERGEFORMAT </w:instrTex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③</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end"/>
            </w:r>
          </w:p>
        </w:tc>
        <w:tc>
          <w:tcPr>
            <w:tcW w:w="1559" w:type="dxa"/>
            <w:tcBorders>
              <w:top w:val="single" w:color="auto" w:sz="8" w:space="0"/>
              <w:bottom w:val="single" w:color="auto" w:sz="4" w:space="0"/>
            </w:tcBorders>
            <w:shd w:val="clear" w:color="auto" w:fill="auto"/>
            <w:tcMar>
              <w:left w:w="28" w:type="dxa"/>
              <w:right w:w="28" w:type="dxa"/>
            </w:tcMar>
            <w:vAlign w:val="center"/>
          </w:tcPr>
          <w:p w14:paraId="22E68333">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本期项目</w:t>
            </w:r>
          </w:p>
          <w:p w14:paraId="10971351">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instrText xml:space="preserve"> = 4 \* GB3 \* MERGEFORMAT </w:instrTex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④</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end"/>
            </w:r>
          </w:p>
        </w:tc>
        <w:tc>
          <w:tcPr>
            <w:tcW w:w="1761" w:type="dxa"/>
            <w:tcBorders>
              <w:top w:val="single" w:color="auto" w:sz="8" w:space="0"/>
              <w:bottom w:val="single" w:color="auto" w:sz="4" w:space="0"/>
            </w:tcBorders>
            <w:shd w:val="clear" w:color="auto" w:fill="auto"/>
            <w:tcMar>
              <w:left w:w="28" w:type="dxa"/>
              <w:right w:w="28" w:type="dxa"/>
            </w:tcMar>
            <w:vAlign w:val="center"/>
          </w:tcPr>
          <w:p w14:paraId="3B73A25E">
            <w:pPr>
              <w:pStyle w:val="55"/>
              <w:spacing w:beforeLines="0" w:afterLines="0" w:line="240" w:lineRule="exact"/>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t>以新带老削减量</w:t>
            </w:r>
          </w:p>
          <w:p w14:paraId="19495202">
            <w:pPr>
              <w:pStyle w:val="55"/>
              <w:spacing w:beforeLines="0" w:afterLines="0" w:line="240" w:lineRule="exact"/>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t>（新建项目不填）</w: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instrText xml:space="preserve"> = 5 \* GB3 \* MERGEFORMAT </w:instrTex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⑤</w: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end"/>
            </w:r>
          </w:p>
        </w:tc>
        <w:tc>
          <w:tcPr>
            <w:tcW w:w="1506" w:type="dxa"/>
            <w:tcBorders>
              <w:top w:val="single" w:color="auto" w:sz="8" w:space="0"/>
              <w:bottom w:val="single" w:color="auto" w:sz="4" w:space="0"/>
            </w:tcBorders>
            <w:shd w:val="clear" w:color="auto" w:fill="auto"/>
            <w:tcMar>
              <w:left w:w="28" w:type="dxa"/>
              <w:right w:w="28" w:type="dxa"/>
            </w:tcMar>
            <w:vAlign w:val="center"/>
          </w:tcPr>
          <w:p w14:paraId="49763EF9">
            <w:pPr>
              <w:pStyle w:val="55"/>
              <w:spacing w:beforeLines="0" w:afterLines="0" w:line="240" w:lineRule="exact"/>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t>本期项目建成后</w:t>
            </w:r>
          </w:p>
          <w:p w14:paraId="53526792">
            <w:pPr>
              <w:pStyle w:val="55"/>
              <w:spacing w:beforeLines="0" w:afterLines="0" w:line="240" w:lineRule="exact"/>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t>全厂排放量（固体废物产生量）</w: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instrText xml:space="preserve"> = 6 \* GB3 \* MERGEFORMAT </w:instrTex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⑥</w:t>
            </w:r>
            <w:r>
              <w:rPr>
                <w:rFonts w:hint="default" w:ascii="Times New Roman" w:hAnsi="Times New Roman" w:eastAsia="宋体" w:cs="Times New Roman"/>
                <w:snapToGrid w:val="0"/>
                <w:color w:val="000000" w:themeColor="text1"/>
                <w:spacing w:val="-16"/>
                <w:kern w:val="21"/>
                <w:sz w:val="21"/>
                <w:szCs w:val="21"/>
                <w:highlight w:val="none"/>
                <w14:textFill>
                  <w14:solidFill>
                    <w14:schemeClr w14:val="tx1"/>
                  </w14:solidFill>
                </w14:textFill>
              </w:rPr>
              <w:fldChar w:fldCharType="end"/>
            </w:r>
          </w:p>
        </w:tc>
        <w:tc>
          <w:tcPr>
            <w:tcW w:w="1279" w:type="dxa"/>
            <w:tcBorders>
              <w:top w:val="single" w:color="auto" w:sz="8" w:space="0"/>
              <w:bottom w:val="single" w:color="auto" w:sz="4" w:space="0"/>
            </w:tcBorders>
            <w:shd w:val="clear" w:color="auto" w:fill="auto"/>
            <w:tcMar>
              <w:left w:w="28" w:type="dxa"/>
              <w:right w:w="28" w:type="dxa"/>
            </w:tcMar>
            <w:vAlign w:val="center"/>
          </w:tcPr>
          <w:p w14:paraId="1939C21B">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t>变化量</w:t>
            </w:r>
          </w:p>
          <w:p w14:paraId="05A84E67">
            <w:pPr>
              <w:pStyle w:val="55"/>
              <w:spacing w:beforeLines="0" w:afterLines="0" w:line="240" w:lineRule="exact"/>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instrText xml:space="preserve"> = 7 \* GB3 \* MERGEFORMAT </w:instrTex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⑦</w:t>
            </w:r>
            <w:r>
              <w:rPr>
                <w:rFonts w:hint="default" w:ascii="Times New Roman" w:hAnsi="Times New Roman" w:eastAsia="宋体" w:cs="Times New Roman"/>
                <w:snapToGrid w:val="0"/>
                <w:color w:val="000000" w:themeColor="text1"/>
                <w:spacing w:val="-6"/>
                <w:kern w:val="21"/>
                <w:sz w:val="21"/>
                <w:szCs w:val="21"/>
                <w:highlight w:val="none"/>
                <w14:textFill>
                  <w14:solidFill>
                    <w14:schemeClr w14:val="tx1"/>
                  </w14:solidFill>
                </w14:textFill>
              </w:rPr>
              <w:fldChar w:fldCharType="end"/>
            </w:r>
          </w:p>
        </w:tc>
      </w:tr>
      <w:tr w14:paraId="4A4DF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restart"/>
            <w:tcBorders>
              <w:top w:val="single" w:color="auto" w:sz="4" w:space="0"/>
              <w:bottom w:val="single" w:color="auto" w:sz="4" w:space="0"/>
            </w:tcBorders>
            <w:shd w:val="clear" w:color="auto" w:fill="auto"/>
            <w:vAlign w:val="center"/>
          </w:tcPr>
          <w:p w14:paraId="1421F118">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废气</w:t>
            </w:r>
          </w:p>
        </w:tc>
        <w:tc>
          <w:tcPr>
            <w:tcW w:w="1417" w:type="dxa"/>
            <w:tcBorders>
              <w:top w:val="single" w:color="auto" w:sz="4" w:space="0"/>
              <w:bottom w:val="single" w:color="auto" w:sz="4" w:space="0"/>
            </w:tcBorders>
            <w:shd w:val="clear" w:color="auto" w:fill="auto"/>
            <w:vAlign w:val="center"/>
          </w:tcPr>
          <w:p w14:paraId="4A36E061">
            <w:pPr>
              <w:adjustRightInd w:val="0"/>
              <w:snapToGrid w:val="0"/>
              <w:spacing w:line="240" w:lineRule="exact"/>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二氧化硫</w:t>
            </w:r>
          </w:p>
        </w:tc>
        <w:tc>
          <w:tcPr>
            <w:tcW w:w="1701" w:type="dxa"/>
            <w:tcBorders>
              <w:top w:val="single" w:color="auto" w:sz="4" w:space="0"/>
              <w:bottom w:val="single" w:color="auto" w:sz="4" w:space="0"/>
            </w:tcBorders>
            <w:shd w:val="clear" w:color="auto" w:fill="auto"/>
            <w:vAlign w:val="center"/>
          </w:tcPr>
          <w:p w14:paraId="2105B46D">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185.90</w:t>
            </w:r>
          </w:p>
        </w:tc>
        <w:tc>
          <w:tcPr>
            <w:tcW w:w="1276" w:type="dxa"/>
            <w:tcBorders>
              <w:top w:val="single" w:color="auto" w:sz="4" w:space="0"/>
              <w:bottom w:val="single" w:color="auto" w:sz="4" w:space="0"/>
            </w:tcBorders>
            <w:shd w:val="clear" w:color="auto" w:fill="auto"/>
            <w:vAlign w:val="center"/>
          </w:tcPr>
          <w:p w14:paraId="05BA497B">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185.90</w:t>
            </w:r>
          </w:p>
        </w:tc>
        <w:tc>
          <w:tcPr>
            <w:tcW w:w="1701" w:type="dxa"/>
            <w:tcBorders>
              <w:top w:val="single" w:color="auto" w:sz="4" w:space="0"/>
              <w:bottom w:val="single" w:color="auto" w:sz="4" w:space="0"/>
            </w:tcBorders>
            <w:shd w:val="clear" w:color="auto" w:fill="auto"/>
            <w:vAlign w:val="center"/>
          </w:tcPr>
          <w:p w14:paraId="64C7839D">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755DCBC0">
            <w:pPr>
              <w:widowControl/>
              <w:adjustRightInd w:val="0"/>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2.30</w:t>
            </w:r>
          </w:p>
        </w:tc>
        <w:tc>
          <w:tcPr>
            <w:tcW w:w="1761" w:type="dxa"/>
            <w:tcBorders>
              <w:top w:val="single" w:color="auto" w:sz="4" w:space="0"/>
              <w:bottom w:val="single" w:color="auto" w:sz="4" w:space="0"/>
            </w:tcBorders>
            <w:shd w:val="clear" w:color="auto" w:fill="auto"/>
            <w:vAlign w:val="center"/>
          </w:tcPr>
          <w:p w14:paraId="65ECB040">
            <w:pPr>
              <w:widowControl/>
              <w:adjustRightInd w:val="0"/>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2.30</w:t>
            </w:r>
          </w:p>
        </w:tc>
        <w:tc>
          <w:tcPr>
            <w:tcW w:w="1506" w:type="dxa"/>
            <w:tcBorders>
              <w:top w:val="single" w:color="auto" w:sz="4" w:space="0"/>
              <w:bottom w:val="single" w:color="auto" w:sz="4" w:space="0"/>
            </w:tcBorders>
            <w:shd w:val="clear" w:color="auto" w:fill="auto"/>
            <w:vAlign w:val="center"/>
          </w:tcPr>
          <w:p w14:paraId="1226AF8A">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185.90</w:t>
            </w:r>
          </w:p>
        </w:tc>
        <w:tc>
          <w:tcPr>
            <w:tcW w:w="1279" w:type="dxa"/>
            <w:tcBorders>
              <w:top w:val="single" w:color="auto" w:sz="4" w:space="0"/>
              <w:bottom w:val="single" w:color="auto" w:sz="4" w:space="0"/>
            </w:tcBorders>
            <w:shd w:val="clear" w:color="auto" w:fill="auto"/>
            <w:vAlign w:val="center"/>
          </w:tcPr>
          <w:p w14:paraId="04CE6A8E">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70566D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2241EC97">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2A807128">
            <w:pPr>
              <w:adjustRightInd w:val="0"/>
              <w:snapToGrid w:val="0"/>
              <w:spacing w:line="24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氮氧化物</w:t>
            </w:r>
          </w:p>
        </w:tc>
        <w:tc>
          <w:tcPr>
            <w:tcW w:w="1701" w:type="dxa"/>
            <w:tcBorders>
              <w:top w:val="single" w:color="auto" w:sz="4" w:space="0"/>
              <w:bottom w:val="single" w:color="auto" w:sz="4" w:space="0"/>
            </w:tcBorders>
            <w:shd w:val="clear" w:color="auto" w:fill="auto"/>
            <w:vAlign w:val="center"/>
          </w:tcPr>
          <w:p w14:paraId="0E8F16E6">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357.08</w:t>
            </w:r>
          </w:p>
        </w:tc>
        <w:tc>
          <w:tcPr>
            <w:tcW w:w="1276" w:type="dxa"/>
            <w:tcBorders>
              <w:top w:val="single" w:color="auto" w:sz="4" w:space="0"/>
              <w:bottom w:val="single" w:color="auto" w:sz="4" w:space="0"/>
            </w:tcBorders>
            <w:shd w:val="clear" w:color="auto" w:fill="auto"/>
            <w:vAlign w:val="center"/>
          </w:tcPr>
          <w:p w14:paraId="3587FFA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357.08</w:t>
            </w:r>
          </w:p>
        </w:tc>
        <w:tc>
          <w:tcPr>
            <w:tcW w:w="1701" w:type="dxa"/>
            <w:tcBorders>
              <w:top w:val="single" w:color="auto" w:sz="4" w:space="0"/>
              <w:bottom w:val="single" w:color="auto" w:sz="4" w:space="0"/>
            </w:tcBorders>
            <w:shd w:val="clear" w:color="auto" w:fill="auto"/>
            <w:vAlign w:val="center"/>
          </w:tcPr>
          <w:p w14:paraId="4F541EBC">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6B32D42E">
            <w:pPr>
              <w:widowControl/>
              <w:adjustRightIn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5.80</w:t>
            </w:r>
          </w:p>
        </w:tc>
        <w:tc>
          <w:tcPr>
            <w:tcW w:w="1761" w:type="dxa"/>
            <w:tcBorders>
              <w:top w:val="single" w:color="auto" w:sz="4" w:space="0"/>
              <w:bottom w:val="single" w:color="auto" w:sz="4" w:space="0"/>
            </w:tcBorders>
            <w:shd w:val="clear" w:color="auto" w:fill="auto"/>
            <w:vAlign w:val="center"/>
          </w:tcPr>
          <w:p w14:paraId="3A2E9B8F">
            <w:pPr>
              <w:widowControl/>
              <w:adjustRightInd w:val="0"/>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5.80</w:t>
            </w:r>
          </w:p>
        </w:tc>
        <w:tc>
          <w:tcPr>
            <w:tcW w:w="1506" w:type="dxa"/>
            <w:tcBorders>
              <w:top w:val="single" w:color="auto" w:sz="4" w:space="0"/>
              <w:bottom w:val="single" w:color="auto" w:sz="4" w:space="0"/>
            </w:tcBorders>
            <w:shd w:val="clear" w:color="auto" w:fill="auto"/>
            <w:vAlign w:val="center"/>
          </w:tcPr>
          <w:p w14:paraId="499A1592">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357.08</w:t>
            </w:r>
          </w:p>
        </w:tc>
        <w:tc>
          <w:tcPr>
            <w:tcW w:w="1279" w:type="dxa"/>
            <w:tcBorders>
              <w:top w:val="single" w:color="auto" w:sz="4" w:space="0"/>
              <w:bottom w:val="single" w:color="auto" w:sz="4" w:space="0"/>
            </w:tcBorders>
            <w:shd w:val="clear" w:color="auto" w:fill="auto"/>
            <w:vAlign w:val="center"/>
          </w:tcPr>
          <w:p w14:paraId="2FDF6222">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r>
      <w:tr w14:paraId="3DABBB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7166F3CF">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05F37A76">
            <w:pPr>
              <w:spacing w:line="200" w:lineRule="exac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颗粒物</w:t>
            </w:r>
          </w:p>
        </w:tc>
        <w:tc>
          <w:tcPr>
            <w:tcW w:w="1701" w:type="dxa"/>
            <w:tcBorders>
              <w:top w:val="single" w:color="auto" w:sz="4" w:space="0"/>
              <w:bottom w:val="single" w:color="auto" w:sz="4" w:space="0"/>
            </w:tcBorders>
            <w:shd w:val="clear" w:color="auto" w:fill="auto"/>
            <w:vAlign w:val="center"/>
          </w:tcPr>
          <w:p w14:paraId="45955B90">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41.66</w:t>
            </w:r>
          </w:p>
        </w:tc>
        <w:tc>
          <w:tcPr>
            <w:tcW w:w="1276" w:type="dxa"/>
            <w:tcBorders>
              <w:top w:val="single" w:color="auto" w:sz="4" w:space="0"/>
              <w:bottom w:val="single" w:color="auto" w:sz="4" w:space="0"/>
            </w:tcBorders>
            <w:shd w:val="clear" w:color="auto" w:fill="auto"/>
            <w:vAlign w:val="center"/>
          </w:tcPr>
          <w:p w14:paraId="4D48AE3B">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41.66</w:t>
            </w:r>
          </w:p>
        </w:tc>
        <w:tc>
          <w:tcPr>
            <w:tcW w:w="1701" w:type="dxa"/>
            <w:tcBorders>
              <w:top w:val="single" w:color="auto" w:sz="4" w:space="0"/>
              <w:bottom w:val="single" w:color="auto" w:sz="4" w:space="0"/>
            </w:tcBorders>
            <w:shd w:val="clear" w:color="auto" w:fill="auto"/>
            <w:vAlign w:val="center"/>
          </w:tcPr>
          <w:p w14:paraId="15023E46">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3BE0CC2B">
            <w:pPr>
              <w:widowControl/>
              <w:adjustRightInd w:val="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1.91</w:t>
            </w:r>
          </w:p>
        </w:tc>
        <w:tc>
          <w:tcPr>
            <w:tcW w:w="1761" w:type="dxa"/>
            <w:tcBorders>
              <w:top w:val="single" w:color="auto" w:sz="4" w:space="0"/>
              <w:bottom w:val="single" w:color="auto" w:sz="4" w:space="0"/>
            </w:tcBorders>
            <w:shd w:val="clear" w:color="auto" w:fill="auto"/>
            <w:vAlign w:val="center"/>
          </w:tcPr>
          <w:p w14:paraId="7E20A027">
            <w:pPr>
              <w:widowControl/>
              <w:adjustRightInd w:val="0"/>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1.91</w:t>
            </w:r>
          </w:p>
        </w:tc>
        <w:tc>
          <w:tcPr>
            <w:tcW w:w="1506" w:type="dxa"/>
            <w:tcBorders>
              <w:top w:val="single" w:color="auto" w:sz="4" w:space="0"/>
              <w:bottom w:val="single" w:color="auto" w:sz="4" w:space="0"/>
            </w:tcBorders>
            <w:shd w:val="clear" w:color="auto" w:fill="auto"/>
            <w:vAlign w:val="center"/>
          </w:tcPr>
          <w:p w14:paraId="694D98AA">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41.66</w:t>
            </w:r>
          </w:p>
        </w:tc>
        <w:tc>
          <w:tcPr>
            <w:tcW w:w="1279" w:type="dxa"/>
            <w:tcBorders>
              <w:top w:val="single" w:color="auto" w:sz="4" w:space="0"/>
              <w:bottom w:val="single" w:color="auto" w:sz="4" w:space="0"/>
            </w:tcBorders>
            <w:shd w:val="clear" w:color="auto" w:fill="auto"/>
            <w:vAlign w:val="center"/>
          </w:tcPr>
          <w:p w14:paraId="19E64DD4">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r>
      <w:tr w14:paraId="4AFCED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restart"/>
            <w:tcBorders>
              <w:top w:val="single" w:color="auto" w:sz="4" w:space="0"/>
              <w:bottom w:val="single" w:color="auto" w:sz="4" w:space="0"/>
            </w:tcBorders>
            <w:shd w:val="clear" w:color="auto" w:fill="auto"/>
            <w:vAlign w:val="center"/>
          </w:tcPr>
          <w:p w14:paraId="20EAB95C">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废水</w:t>
            </w:r>
          </w:p>
        </w:tc>
        <w:tc>
          <w:tcPr>
            <w:tcW w:w="1417" w:type="dxa"/>
            <w:tcBorders>
              <w:top w:val="single" w:color="auto" w:sz="4" w:space="0"/>
              <w:bottom w:val="single" w:color="auto" w:sz="4" w:space="0"/>
            </w:tcBorders>
            <w:shd w:val="clear" w:color="auto" w:fill="auto"/>
            <w:vAlign w:val="center"/>
          </w:tcPr>
          <w:p w14:paraId="0E1252F0">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废水量</w:t>
            </w:r>
          </w:p>
        </w:tc>
        <w:tc>
          <w:tcPr>
            <w:tcW w:w="1701" w:type="dxa"/>
            <w:tcBorders>
              <w:top w:val="single" w:color="auto" w:sz="4" w:space="0"/>
              <w:bottom w:val="single" w:color="auto" w:sz="4" w:space="0"/>
            </w:tcBorders>
            <w:shd w:val="clear" w:color="auto" w:fill="auto"/>
            <w:vAlign w:val="center"/>
          </w:tcPr>
          <w:p w14:paraId="0AADBA09">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374672</w:t>
            </w:r>
          </w:p>
        </w:tc>
        <w:tc>
          <w:tcPr>
            <w:tcW w:w="1276" w:type="dxa"/>
            <w:tcBorders>
              <w:top w:val="single" w:color="auto" w:sz="4" w:space="0"/>
              <w:bottom w:val="single" w:color="auto" w:sz="4" w:space="0"/>
            </w:tcBorders>
            <w:shd w:val="clear" w:color="auto" w:fill="auto"/>
            <w:vAlign w:val="center"/>
          </w:tcPr>
          <w:p w14:paraId="2127FAD2">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374672</w:t>
            </w:r>
          </w:p>
        </w:tc>
        <w:tc>
          <w:tcPr>
            <w:tcW w:w="1701" w:type="dxa"/>
            <w:tcBorders>
              <w:top w:val="single" w:color="auto" w:sz="4" w:space="0"/>
              <w:bottom w:val="single" w:color="auto" w:sz="4" w:space="0"/>
            </w:tcBorders>
            <w:shd w:val="clear" w:color="auto" w:fill="auto"/>
            <w:vAlign w:val="center"/>
          </w:tcPr>
          <w:p w14:paraId="0DB98CBE">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3F0B37D8">
            <w:pPr>
              <w:adjustRightInd w:val="0"/>
              <w:snapToGrid w:val="0"/>
              <w:spacing w:line="240" w:lineRule="exact"/>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14400</w:t>
            </w:r>
          </w:p>
        </w:tc>
        <w:tc>
          <w:tcPr>
            <w:tcW w:w="1761" w:type="dxa"/>
            <w:tcBorders>
              <w:top w:val="single" w:color="auto" w:sz="4" w:space="0"/>
              <w:bottom w:val="single" w:color="auto" w:sz="4" w:space="0"/>
            </w:tcBorders>
            <w:shd w:val="clear" w:color="auto" w:fill="auto"/>
            <w:vAlign w:val="center"/>
          </w:tcPr>
          <w:p w14:paraId="2D237A5C">
            <w:pPr>
              <w:adjustRightInd w:val="0"/>
              <w:snapToGrid w:val="0"/>
              <w:spacing w:line="240" w:lineRule="exact"/>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14400</w:t>
            </w:r>
          </w:p>
        </w:tc>
        <w:tc>
          <w:tcPr>
            <w:tcW w:w="1506" w:type="dxa"/>
            <w:tcBorders>
              <w:top w:val="single" w:color="auto" w:sz="4" w:space="0"/>
              <w:bottom w:val="single" w:color="auto" w:sz="4" w:space="0"/>
            </w:tcBorders>
            <w:shd w:val="clear" w:color="auto" w:fill="auto"/>
            <w:vAlign w:val="center"/>
          </w:tcPr>
          <w:p w14:paraId="26C8ACF4">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374672</w:t>
            </w:r>
          </w:p>
        </w:tc>
        <w:tc>
          <w:tcPr>
            <w:tcW w:w="1279" w:type="dxa"/>
            <w:tcBorders>
              <w:top w:val="single" w:color="auto" w:sz="4" w:space="0"/>
              <w:bottom w:val="single" w:color="auto" w:sz="4" w:space="0"/>
            </w:tcBorders>
            <w:shd w:val="clear" w:color="auto" w:fill="auto"/>
            <w:vAlign w:val="center"/>
          </w:tcPr>
          <w:p w14:paraId="0245B65B">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66331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5416AB4A">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6489412C">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COD</w:t>
            </w:r>
          </w:p>
        </w:tc>
        <w:tc>
          <w:tcPr>
            <w:tcW w:w="1701" w:type="dxa"/>
            <w:tcBorders>
              <w:top w:val="single" w:color="auto" w:sz="4" w:space="0"/>
              <w:bottom w:val="single" w:color="auto" w:sz="4" w:space="0"/>
            </w:tcBorders>
            <w:shd w:val="clear" w:color="auto" w:fill="auto"/>
            <w:vAlign w:val="center"/>
          </w:tcPr>
          <w:p w14:paraId="5AC08B5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15.9</w:t>
            </w:r>
          </w:p>
        </w:tc>
        <w:tc>
          <w:tcPr>
            <w:tcW w:w="1276" w:type="dxa"/>
            <w:tcBorders>
              <w:top w:val="single" w:color="auto" w:sz="4" w:space="0"/>
              <w:bottom w:val="single" w:color="auto" w:sz="4" w:space="0"/>
            </w:tcBorders>
            <w:shd w:val="clear" w:color="auto" w:fill="auto"/>
            <w:vAlign w:val="center"/>
          </w:tcPr>
          <w:p w14:paraId="1CFA82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15.9</w:t>
            </w:r>
          </w:p>
        </w:tc>
        <w:tc>
          <w:tcPr>
            <w:tcW w:w="1701" w:type="dxa"/>
            <w:tcBorders>
              <w:top w:val="single" w:color="auto" w:sz="4" w:space="0"/>
              <w:bottom w:val="single" w:color="auto" w:sz="4" w:space="0"/>
            </w:tcBorders>
            <w:shd w:val="clear" w:color="auto" w:fill="auto"/>
            <w:vAlign w:val="center"/>
          </w:tcPr>
          <w:p w14:paraId="5F913504">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5101CDDB">
            <w:pPr>
              <w:spacing w:line="24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xml:space="preserve">0.55 </w:t>
            </w:r>
          </w:p>
        </w:tc>
        <w:tc>
          <w:tcPr>
            <w:tcW w:w="1761" w:type="dxa"/>
            <w:tcBorders>
              <w:top w:val="single" w:color="auto" w:sz="4" w:space="0"/>
              <w:bottom w:val="single" w:color="auto" w:sz="4" w:space="0"/>
            </w:tcBorders>
            <w:shd w:val="clear" w:color="auto" w:fill="auto"/>
            <w:vAlign w:val="center"/>
          </w:tcPr>
          <w:p w14:paraId="7D28A091">
            <w:pPr>
              <w:keepNext w:val="0"/>
              <w:keepLines w:val="0"/>
              <w:widowControl/>
              <w:suppressLineNumbers w:val="0"/>
              <w:jc w:val="center"/>
              <w:textAlignment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0.55</w:t>
            </w:r>
          </w:p>
        </w:tc>
        <w:tc>
          <w:tcPr>
            <w:tcW w:w="1506" w:type="dxa"/>
            <w:tcBorders>
              <w:top w:val="single" w:color="auto" w:sz="4" w:space="0"/>
              <w:bottom w:val="single" w:color="auto" w:sz="4" w:space="0"/>
            </w:tcBorders>
            <w:shd w:val="clear" w:color="auto" w:fill="auto"/>
            <w:vAlign w:val="center"/>
          </w:tcPr>
          <w:p w14:paraId="51246A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15.9</w:t>
            </w:r>
          </w:p>
        </w:tc>
        <w:tc>
          <w:tcPr>
            <w:tcW w:w="1279" w:type="dxa"/>
            <w:tcBorders>
              <w:top w:val="single" w:color="auto" w:sz="4" w:space="0"/>
              <w:bottom w:val="single" w:color="auto" w:sz="4" w:space="0"/>
            </w:tcBorders>
            <w:shd w:val="clear" w:color="auto" w:fill="auto"/>
            <w:vAlign w:val="center"/>
          </w:tcPr>
          <w:p w14:paraId="00DE9F63">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3F3FCC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73797D99">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071BC516">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SS</w:t>
            </w:r>
          </w:p>
        </w:tc>
        <w:tc>
          <w:tcPr>
            <w:tcW w:w="1701" w:type="dxa"/>
            <w:tcBorders>
              <w:top w:val="single" w:color="auto" w:sz="4" w:space="0"/>
              <w:bottom w:val="single" w:color="auto" w:sz="4" w:space="0"/>
            </w:tcBorders>
            <w:shd w:val="clear" w:color="auto" w:fill="auto"/>
            <w:vAlign w:val="center"/>
          </w:tcPr>
          <w:p w14:paraId="22D4B9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12.7</w:t>
            </w:r>
          </w:p>
        </w:tc>
        <w:tc>
          <w:tcPr>
            <w:tcW w:w="1276" w:type="dxa"/>
            <w:tcBorders>
              <w:top w:val="single" w:color="auto" w:sz="4" w:space="0"/>
              <w:bottom w:val="single" w:color="auto" w:sz="4" w:space="0"/>
            </w:tcBorders>
            <w:shd w:val="clear" w:color="auto" w:fill="auto"/>
            <w:vAlign w:val="center"/>
          </w:tcPr>
          <w:p w14:paraId="669C0E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12.7</w:t>
            </w:r>
          </w:p>
        </w:tc>
        <w:tc>
          <w:tcPr>
            <w:tcW w:w="1701" w:type="dxa"/>
            <w:tcBorders>
              <w:top w:val="single" w:color="auto" w:sz="4" w:space="0"/>
              <w:bottom w:val="single" w:color="auto" w:sz="4" w:space="0"/>
            </w:tcBorders>
            <w:shd w:val="clear" w:color="auto" w:fill="auto"/>
            <w:vAlign w:val="center"/>
          </w:tcPr>
          <w:p w14:paraId="03CDC577">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4BB7FD3B">
            <w:pPr>
              <w:spacing w:line="240" w:lineRule="atLeast"/>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xml:space="preserve">0.39 </w:t>
            </w:r>
          </w:p>
        </w:tc>
        <w:tc>
          <w:tcPr>
            <w:tcW w:w="1761" w:type="dxa"/>
            <w:tcBorders>
              <w:top w:val="single" w:color="auto" w:sz="4" w:space="0"/>
              <w:bottom w:val="single" w:color="auto" w:sz="4" w:space="0"/>
            </w:tcBorders>
            <w:shd w:val="clear" w:color="auto" w:fill="auto"/>
            <w:vAlign w:val="center"/>
          </w:tcPr>
          <w:p w14:paraId="73BF6EE5">
            <w:pPr>
              <w:keepNext w:val="0"/>
              <w:keepLines w:val="0"/>
              <w:widowControl/>
              <w:suppressLineNumbers w:val="0"/>
              <w:jc w:val="center"/>
              <w:textAlignment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0.39</w:t>
            </w:r>
          </w:p>
        </w:tc>
        <w:tc>
          <w:tcPr>
            <w:tcW w:w="1506" w:type="dxa"/>
            <w:tcBorders>
              <w:top w:val="single" w:color="auto" w:sz="4" w:space="0"/>
              <w:bottom w:val="single" w:color="auto" w:sz="4" w:space="0"/>
            </w:tcBorders>
            <w:shd w:val="clear" w:color="auto" w:fill="auto"/>
            <w:vAlign w:val="center"/>
          </w:tcPr>
          <w:p w14:paraId="531C94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12.7</w:t>
            </w:r>
          </w:p>
        </w:tc>
        <w:tc>
          <w:tcPr>
            <w:tcW w:w="1279" w:type="dxa"/>
            <w:tcBorders>
              <w:top w:val="single" w:color="auto" w:sz="4" w:space="0"/>
              <w:bottom w:val="single" w:color="auto" w:sz="4" w:space="0"/>
            </w:tcBorders>
            <w:shd w:val="clear" w:color="auto" w:fill="auto"/>
            <w:vAlign w:val="center"/>
          </w:tcPr>
          <w:p w14:paraId="64509F81">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2838CA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49C7E997">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47976929">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氨氮</w:t>
            </w:r>
          </w:p>
        </w:tc>
        <w:tc>
          <w:tcPr>
            <w:tcW w:w="1701" w:type="dxa"/>
            <w:tcBorders>
              <w:top w:val="single" w:color="auto" w:sz="4" w:space="0"/>
              <w:bottom w:val="single" w:color="auto" w:sz="4" w:space="0"/>
            </w:tcBorders>
            <w:shd w:val="clear" w:color="auto" w:fill="auto"/>
            <w:vAlign w:val="center"/>
          </w:tcPr>
          <w:p w14:paraId="2389E1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1.11</w:t>
            </w:r>
          </w:p>
        </w:tc>
        <w:tc>
          <w:tcPr>
            <w:tcW w:w="1276" w:type="dxa"/>
            <w:tcBorders>
              <w:top w:val="single" w:color="auto" w:sz="4" w:space="0"/>
              <w:bottom w:val="single" w:color="auto" w:sz="4" w:space="0"/>
            </w:tcBorders>
            <w:shd w:val="clear" w:color="auto" w:fill="auto"/>
            <w:vAlign w:val="center"/>
          </w:tcPr>
          <w:p w14:paraId="554C93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1.11</w:t>
            </w:r>
          </w:p>
        </w:tc>
        <w:tc>
          <w:tcPr>
            <w:tcW w:w="1701" w:type="dxa"/>
            <w:tcBorders>
              <w:top w:val="single" w:color="auto" w:sz="4" w:space="0"/>
              <w:bottom w:val="single" w:color="auto" w:sz="4" w:space="0"/>
            </w:tcBorders>
            <w:shd w:val="clear" w:color="auto" w:fill="auto"/>
            <w:vAlign w:val="center"/>
          </w:tcPr>
          <w:p w14:paraId="4206DBF1">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08BEF313">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761" w:type="dxa"/>
            <w:tcBorders>
              <w:top w:val="single" w:color="auto" w:sz="4" w:space="0"/>
              <w:bottom w:val="single" w:color="auto" w:sz="4" w:space="0"/>
            </w:tcBorders>
            <w:shd w:val="clear" w:color="auto" w:fill="auto"/>
            <w:vAlign w:val="center"/>
          </w:tcPr>
          <w:p w14:paraId="47E5B842">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506" w:type="dxa"/>
            <w:tcBorders>
              <w:top w:val="single" w:color="auto" w:sz="4" w:space="0"/>
              <w:bottom w:val="single" w:color="auto" w:sz="4" w:space="0"/>
            </w:tcBorders>
            <w:shd w:val="clear" w:color="auto" w:fill="auto"/>
            <w:vAlign w:val="center"/>
          </w:tcPr>
          <w:p w14:paraId="19F463E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1.11</w:t>
            </w:r>
          </w:p>
        </w:tc>
        <w:tc>
          <w:tcPr>
            <w:tcW w:w="1279" w:type="dxa"/>
            <w:tcBorders>
              <w:top w:val="single" w:color="auto" w:sz="4" w:space="0"/>
              <w:bottom w:val="single" w:color="auto" w:sz="4" w:space="0"/>
            </w:tcBorders>
            <w:shd w:val="clear" w:color="auto" w:fill="auto"/>
            <w:vAlign w:val="center"/>
          </w:tcPr>
          <w:p w14:paraId="6DB82F0A">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527E46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1C575FD3">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47CDB0E8">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总磷</w:t>
            </w:r>
          </w:p>
        </w:tc>
        <w:tc>
          <w:tcPr>
            <w:tcW w:w="1701" w:type="dxa"/>
            <w:tcBorders>
              <w:top w:val="single" w:color="auto" w:sz="4" w:space="0"/>
              <w:bottom w:val="single" w:color="auto" w:sz="4" w:space="0"/>
            </w:tcBorders>
            <w:shd w:val="clear" w:color="auto" w:fill="auto"/>
            <w:vAlign w:val="center"/>
          </w:tcPr>
          <w:p w14:paraId="3D75A8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0.13</w:t>
            </w:r>
          </w:p>
        </w:tc>
        <w:tc>
          <w:tcPr>
            <w:tcW w:w="1276" w:type="dxa"/>
            <w:tcBorders>
              <w:top w:val="single" w:color="auto" w:sz="4" w:space="0"/>
              <w:bottom w:val="single" w:color="auto" w:sz="4" w:space="0"/>
            </w:tcBorders>
            <w:shd w:val="clear" w:color="auto" w:fill="auto"/>
            <w:vAlign w:val="center"/>
          </w:tcPr>
          <w:p w14:paraId="47B42E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0.13</w:t>
            </w:r>
          </w:p>
        </w:tc>
        <w:tc>
          <w:tcPr>
            <w:tcW w:w="1701" w:type="dxa"/>
            <w:tcBorders>
              <w:top w:val="single" w:color="auto" w:sz="4" w:space="0"/>
              <w:bottom w:val="single" w:color="auto" w:sz="4" w:space="0"/>
            </w:tcBorders>
            <w:shd w:val="clear" w:color="auto" w:fill="auto"/>
            <w:vAlign w:val="center"/>
          </w:tcPr>
          <w:p w14:paraId="5833A03A">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593B250F">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761" w:type="dxa"/>
            <w:tcBorders>
              <w:top w:val="single" w:color="auto" w:sz="4" w:space="0"/>
              <w:bottom w:val="single" w:color="auto" w:sz="4" w:space="0"/>
            </w:tcBorders>
            <w:shd w:val="clear" w:color="auto" w:fill="auto"/>
            <w:vAlign w:val="center"/>
          </w:tcPr>
          <w:p w14:paraId="65B0DABE">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506" w:type="dxa"/>
            <w:tcBorders>
              <w:top w:val="single" w:color="auto" w:sz="4" w:space="0"/>
              <w:bottom w:val="single" w:color="auto" w:sz="4" w:space="0"/>
            </w:tcBorders>
            <w:shd w:val="clear" w:color="auto" w:fill="auto"/>
            <w:vAlign w:val="center"/>
          </w:tcPr>
          <w:p w14:paraId="01CDDB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0.13</w:t>
            </w:r>
          </w:p>
        </w:tc>
        <w:tc>
          <w:tcPr>
            <w:tcW w:w="1279" w:type="dxa"/>
            <w:tcBorders>
              <w:top w:val="single" w:color="auto" w:sz="4" w:space="0"/>
              <w:bottom w:val="single" w:color="auto" w:sz="4" w:space="0"/>
            </w:tcBorders>
            <w:shd w:val="clear" w:color="auto" w:fill="auto"/>
            <w:vAlign w:val="center"/>
          </w:tcPr>
          <w:p w14:paraId="438B24C9">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7F07A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588" w:type="dxa"/>
            <w:vMerge w:val="continue"/>
            <w:tcBorders>
              <w:top w:val="single" w:color="auto" w:sz="4" w:space="0"/>
              <w:bottom w:val="single" w:color="auto" w:sz="4" w:space="0"/>
            </w:tcBorders>
            <w:shd w:val="clear" w:color="auto" w:fill="auto"/>
            <w:vAlign w:val="center"/>
          </w:tcPr>
          <w:p w14:paraId="16E41E24">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417" w:type="dxa"/>
            <w:tcBorders>
              <w:top w:val="single" w:color="auto" w:sz="4" w:space="0"/>
              <w:bottom w:val="single" w:color="auto" w:sz="4" w:space="0"/>
            </w:tcBorders>
            <w:shd w:val="clear" w:color="auto" w:fill="auto"/>
            <w:vAlign w:val="center"/>
          </w:tcPr>
          <w:p w14:paraId="3EC955E5">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总氮</w:t>
            </w:r>
          </w:p>
        </w:tc>
        <w:tc>
          <w:tcPr>
            <w:tcW w:w="1701" w:type="dxa"/>
            <w:tcBorders>
              <w:top w:val="single" w:color="auto" w:sz="4" w:space="0"/>
              <w:bottom w:val="single" w:color="auto" w:sz="4" w:space="0"/>
            </w:tcBorders>
            <w:shd w:val="clear" w:color="auto" w:fill="auto"/>
            <w:vAlign w:val="center"/>
          </w:tcPr>
          <w:p w14:paraId="5133BC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0.48</w:t>
            </w:r>
          </w:p>
        </w:tc>
        <w:tc>
          <w:tcPr>
            <w:tcW w:w="1276" w:type="dxa"/>
            <w:tcBorders>
              <w:top w:val="single" w:color="auto" w:sz="4" w:space="0"/>
              <w:bottom w:val="single" w:color="auto" w:sz="4" w:space="0"/>
            </w:tcBorders>
            <w:shd w:val="clear" w:color="auto" w:fill="auto"/>
            <w:vAlign w:val="center"/>
          </w:tcPr>
          <w:p w14:paraId="461C8A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0.48</w:t>
            </w:r>
          </w:p>
        </w:tc>
        <w:tc>
          <w:tcPr>
            <w:tcW w:w="1701" w:type="dxa"/>
            <w:tcBorders>
              <w:top w:val="single" w:color="auto" w:sz="4" w:space="0"/>
              <w:bottom w:val="single" w:color="auto" w:sz="4" w:space="0"/>
            </w:tcBorders>
            <w:shd w:val="clear" w:color="auto" w:fill="auto"/>
            <w:vAlign w:val="center"/>
          </w:tcPr>
          <w:p w14:paraId="440BF93D">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334E8847">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761" w:type="dxa"/>
            <w:tcBorders>
              <w:top w:val="single" w:color="auto" w:sz="4" w:space="0"/>
              <w:bottom w:val="single" w:color="auto" w:sz="4" w:space="0"/>
            </w:tcBorders>
            <w:shd w:val="clear" w:color="auto" w:fill="auto"/>
            <w:vAlign w:val="center"/>
          </w:tcPr>
          <w:p w14:paraId="3B43F199">
            <w:pPr>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506" w:type="dxa"/>
            <w:tcBorders>
              <w:top w:val="single" w:color="auto" w:sz="4" w:space="0"/>
              <w:bottom w:val="single" w:color="auto" w:sz="4" w:space="0"/>
            </w:tcBorders>
            <w:shd w:val="clear" w:color="auto" w:fill="auto"/>
            <w:vAlign w:val="center"/>
          </w:tcPr>
          <w:p w14:paraId="77BDFD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0.48</w:t>
            </w:r>
          </w:p>
        </w:tc>
        <w:tc>
          <w:tcPr>
            <w:tcW w:w="1279" w:type="dxa"/>
            <w:tcBorders>
              <w:top w:val="single" w:color="auto" w:sz="4" w:space="0"/>
              <w:bottom w:val="single" w:color="auto" w:sz="4" w:space="0"/>
            </w:tcBorders>
            <w:shd w:val="clear" w:color="auto" w:fill="auto"/>
            <w:vAlign w:val="center"/>
          </w:tcPr>
          <w:p w14:paraId="688C6D5B">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4F1C1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005" w:type="dxa"/>
            <w:gridSpan w:val="2"/>
            <w:tcBorders>
              <w:top w:val="single" w:color="auto" w:sz="4" w:space="0"/>
              <w:bottom w:val="single" w:color="auto" w:sz="4" w:space="0"/>
            </w:tcBorders>
            <w:shd w:val="clear" w:color="auto" w:fill="auto"/>
            <w:vAlign w:val="center"/>
          </w:tcPr>
          <w:p w14:paraId="768C7E41">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一般工业固体废物</w:t>
            </w:r>
          </w:p>
        </w:tc>
        <w:tc>
          <w:tcPr>
            <w:tcW w:w="1701" w:type="dxa"/>
            <w:tcBorders>
              <w:top w:val="single" w:color="auto" w:sz="4" w:space="0"/>
              <w:bottom w:val="single" w:color="auto" w:sz="4" w:space="0"/>
            </w:tcBorders>
            <w:shd w:val="clear" w:color="auto" w:fill="auto"/>
            <w:vAlign w:val="center"/>
          </w:tcPr>
          <w:p w14:paraId="5D29E084">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276" w:type="dxa"/>
            <w:tcBorders>
              <w:top w:val="single" w:color="auto" w:sz="4" w:space="0"/>
              <w:bottom w:val="single" w:color="auto" w:sz="4" w:space="0"/>
            </w:tcBorders>
            <w:shd w:val="clear" w:color="auto" w:fill="auto"/>
            <w:vAlign w:val="center"/>
          </w:tcPr>
          <w:p w14:paraId="55EA4934">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701" w:type="dxa"/>
            <w:tcBorders>
              <w:top w:val="single" w:color="auto" w:sz="4" w:space="0"/>
              <w:bottom w:val="single" w:color="auto" w:sz="4" w:space="0"/>
            </w:tcBorders>
            <w:shd w:val="clear" w:color="auto" w:fill="auto"/>
            <w:vAlign w:val="center"/>
          </w:tcPr>
          <w:p w14:paraId="4F376084">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4" w:space="0"/>
            </w:tcBorders>
            <w:shd w:val="clear" w:color="auto" w:fill="auto"/>
            <w:vAlign w:val="center"/>
          </w:tcPr>
          <w:p w14:paraId="0F38BDD8">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761" w:type="dxa"/>
            <w:tcBorders>
              <w:top w:val="single" w:color="auto" w:sz="4" w:space="0"/>
              <w:bottom w:val="single" w:color="auto" w:sz="4" w:space="0"/>
            </w:tcBorders>
            <w:shd w:val="clear" w:color="auto" w:fill="auto"/>
            <w:vAlign w:val="center"/>
          </w:tcPr>
          <w:p w14:paraId="66097A8B">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06" w:type="dxa"/>
            <w:tcBorders>
              <w:top w:val="single" w:color="auto" w:sz="4" w:space="0"/>
              <w:bottom w:val="single" w:color="auto" w:sz="4" w:space="0"/>
            </w:tcBorders>
            <w:shd w:val="clear" w:color="auto" w:fill="auto"/>
            <w:vAlign w:val="center"/>
          </w:tcPr>
          <w:p w14:paraId="6E2C8377">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279" w:type="dxa"/>
            <w:tcBorders>
              <w:top w:val="single" w:color="auto" w:sz="4" w:space="0"/>
              <w:bottom w:val="single" w:color="auto" w:sz="4" w:space="0"/>
            </w:tcBorders>
            <w:shd w:val="clear" w:color="auto" w:fill="auto"/>
            <w:vAlign w:val="center"/>
          </w:tcPr>
          <w:p w14:paraId="6B3C9BAE">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r w14:paraId="39715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3005" w:type="dxa"/>
            <w:gridSpan w:val="2"/>
            <w:tcBorders>
              <w:top w:val="single" w:color="auto" w:sz="4" w:space="0"/>
            </w:tcBorders>
            <w:shd w:val="clear" w:color="auto" w:fill="auto"/>
            <w:vAlign w:val="center"/>
          </w:tcPr>
          <w:p w14:paraId="7A8BCB63">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危险废物</w:t>
            </w:r>
          </w:p>
        </w:tc>
        <w:tc>
          <w:tcPr>
            <w:tcW w:w="1701" w:type="dxa"/>
            <w:tcBorders>
              <w:top w:val="single" w:color="auto" w:sz="4" w:space="0"/>
            </w:tcBorders>
            <w:shd w:val="clear" w:color="auto" w:fill="auto"/>
            <w:vAlign w:val="center"/>
          </w:tcPr>
          <w:p w14:paraId="1329B52B">
            <w:pPr>
              <w:pStyle w:val="55"/>
              <w:spacing w:beforeLines="0" w:afterLines="0" w:line="240" w:lineRule="exact"/>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276" w:type="dxa"/>
            <w:tcBorders>
              <w:top w:val="single" w:color="auto" w:sz="4" w:space="0"/>
            </w:tcBorders>
            <w:shd w:val="clear" w:color="auto" w:fill="auto"/>
            <w:vAlign w:val="center"/>
          </w:tcPr>
          <w:p w14:paraId="782D22BF">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701" w:type="dxa"/>
            <w:tcBorders>
              <w:top w:val="single" w:color="auto" w:sz="4" w:space="0"/>
            </w:tcBorders>
            <w:shd w:val="clear" w:color="auto" w:fill="auto"/>
            <w:vAlign w:val="center"/>
          </w:tcPr>
          <w:p w14:paraId="5E34D565">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59" w:type="dxa"/>
            <w:tcBorders>
              <w:top w:val="single" w:color="auto" w:sz="4" w:space="0"/>
              <w:bottom w:val="single" w:color="auto" w:sz="8" w:space="0"/>
            </w:tcBorders>
            <w:shd w:val="clear" w:color="auto" w:fill="auto"/>
            <w:vAlign w:val="center"/>
          </w:tcPr>
          <w:p w14:paraId="2E6A2DA2">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761" w:type="dxa"/>
            <w:tcBorders>
              <w:top w:val="single" w:color="auto" w:sz="4" w:space="0"/>
            </w:tcBorders>
            <w:shd w:val="clear" w:color="auto" w:fill="auto"/>
            <w:vAlign w:val="center"/>
          </w:tcPr>
          <w:p w14:paraId="64CA066B">
            <w:pPr>
              <w:pStyle w:val="55"/>
              <w:spacing w:beforeLines="0" w:afterLines="0" w:line="240" w:lineRule="exact"/>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506" w:type="dxa"/>
            <w:tcBorders>
              <w:top w:val="single" w:color="auto" w:sz="4" w:space="0"/>
            </w:tcBorders>
            <w:shd w:val="clear" w:color="auto" w:fill="auto"/>
            <w:vAlign w:val="center"/>
          </w:tcPr>
          <w:p w14:paraId="6B0EBCFE">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c>
          <w:tcPr>
            <w:tcW w:w="1279" w:type="dxa"/>
            <w:tcBorders>
              <w:top w:val="single" w:color="auto" w:sz="4" w:space="0"/>
            </w:tcBorders>
            <w:shd w:val="clear" w:color="auto" w:fill="auto"/>
            <w:vAlign w:val="center"/>
          </w:tcPr>
          <w:p w14:paraId="69D47A2C">
            <w:pPr>
              <w:pStyle w:val="55"/>
              <w:spacing w:beforeLines="0" w:afterLines="0" w:line="240" w:lineRule="exact"/>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cs="Times New Roman"/>
                <w:snapToGrid w:val="0"/>
                <w:color w:val="000000" w:themeColor="text1"/>
                <w:kern w:val="21"/>
                <w:sz w:val="21"/>
                <w:szCs w:val="21"/>
                <w:highlight w:val="none"/>
                <w:lang w:val="en-US" w:eastAsia="zh-CN"/>
                <w14:textFill>
                  <w14:solidFill>
                    <w14:schemeClr w14:val="tx1"/>
                  </w14:solidFill>
                </w14:textFill>
              </w:rPr>
              <w:t>0</w:t>
            </w:r>
          </w:p>
        </w:tc>
      </w:tr>
    </w:tbl>
    <w:p w14:paraId="6EFEDCE3">
      <w:pPr>
        <w:pStyle w:val="55"/>
        <w:spacing w:before="192" w:beforeLines="80" w:after="24"/>
        <w:jc w:val="left"/>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注：</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⑥</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①</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instrText xml:space="preserve"> = 3 \* GB3 \* MERGEFORMAT </w:instrTex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③</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instrText xml:space="preserve"> = 4 \* GB3 \* MERGEFORMAT </w:instrTex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④</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instrText xml:space="preserve"> = 5 \* GB3 \* MERGEFORMAT </w:instrTex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⑤</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instrText xml:space="preserve"> = 7 \* GB3 \* MERGEFORMAT </w:instrTex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⑦</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⑥</w:t>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eastAsia="宋体"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color w:val="000000" w:themeColor="text1"/>
          <w:szCs w:val="21"/>
          <w:highlight w:val="none"/>
          <w14:textFill>
            <w14:solidFill>
              <w14:schemeClr w14:val="tx1"/>
            </w14:solidFill>
          </w14:textFill>
        </w:rPr>
        <w:t>①</w:t>
      </w:r>
      <w:r>
        <w:rPr>
          <w:rFonts w:hint="default" w:ascii="Times New Roman" w:hAnsi="Times New Roman" w:eastAsia="宋体" w:cs="Times New Roman"/>
          <w:snapToGrid w:val="0"/>
          <w:color w:val="000000" w:themeColor="text1"/>
          <w:spacing w:val="-6"/>
          <w:kern w:val="21"/>
          <w:szCs w:val="21"/>
          <w:highlight w:val="none"/>
          <w14:textFill>
            <w14:solidFill>
              <w14:schemeClr w14:val="tx1"/>
            </w14:solidFill>
          </w14:textFill>
        </w:rPr>
        <w:fldChar w:fldCharType="end"/>
      </w:r>
      <w:bookmarkEnd w:id="0"/>
    </w:p>
    <w:p w14:paraId="6016FD4E">
      <w:pPr>
        <w:ind w:firstLine="42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单位：t/a</w:t>
      </w:r>
    </w:p>
    <w:p w14:paraId="637A7010">
      <w:pPr>
        <w:pStyle w:val="45"/>
        <w:rPr>
          <w:rFonts w:hint="default" w:ascii="Times New Roman" w:hAnsi="Times New Roman" w:eastAsia="宋体" w:cs="Times New Roman"/>
          <w:color w:val="000000" w:themeColor="text1"/>
          <w:highlight w:val="none"/>
          <w14:textFill>
            <w14:solidFill>
              <w14:schemeClr w14:val="tx1"/>
            </w14:solidFill>
          </w14:textFill>
        </w:rPr>
      </w:pPr>
    </w:p>
    <w:p w14:paraId="4EF9347D">
      <w:pPr>
        <w:pStyle w:val="45"/>
        <w:rPr>
          <w:rFonts w:hint="default" w:ascii="Times New Roman" w:hAnsi="Times New Roman" w:eastAsia="宋体" w:cs="Times New Roman"/>
          <w:color w:val="000000" w:themeColor="text1"/>
          <w:highlight w:val="none"/>
          <w14:textFill>
            <w14:solidFill>
              <w14:schemeClr w14:val="tx1"/>
            </w14:solidFill>
          </w14:textFill>
        </w:rPr>
      </w:pPr>
    </w:p>
    <w:p w14:paraId="6B1C7982">
      <w:pPr>
        <w:pStyle w:val="45"/>
        <w:rPr>
          <w:rFonts w:hint="default" w:ascii="Times New Roman" w:hAnsi="Times New Roman" w:eastAsia="宋体" w:cs="Times New Roman"/>
          <w:color w:val="000000" w:themeColor="text1"/>
          <w:highlight w:val="none"/>
          <w14:textFill>
            <w14:solidFill>
              <w14:schemeClr w14:val="tx1"/>
            </w14:solidFill>
          </w14:textFill>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3"/>
      </w:tblGrid>
      <w:tr w14:paraId="27C8E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0" w:hRule="atLeast"/>
        </w:trPr>
        <w:tc>
          <w:tcPr>
            <w:tcW w:w="9043" w:type="dxa"/>
            <w:tcBorders>
              <w:bottom w:val="single" w:color="auto" w:sz="4" w:space="0"/>
            </w:tcBorders>
            <w:noWrap w:val="0"/>
            <w:vAlign w:val="top"/>
          </w:tcPr>
          <w:p w14:paraId="6C81AA13">
            <w:pPr>
              <w:pageBreakBefore w:val="0"/>
              <w:kinsoku/>
              <w:bidi w:val="0"/>
              <w:adjustRightInd w:val="0"/>
              <w:snapToGrid w:val="0"/>
              <w:spacing w:line="360" w:lineRule="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预审意见：</w:t>
            </w:r>
          </w:p>
          <w:p w14:paraId="69E21435">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2D81D580">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2EB187E9">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7EF11242">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16B2E471">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06D3458A">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0D3A6673">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2A8B45B6">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p w14:paraId="3E24B467">
            <w:pPr>
              <w:pageBreakBefore w:val="0"/>
              <w:kinsoku/>
              <w:wordWrap w:val="0"/>
              <w:bidi w:val="0"/>
              <w:adjustRightInd w:val="0"/>
              <w:snapToGrid w:val="0"/>
              <w:spacing w:line="360" w:lineRule="auto"/>
              <w:jc w:val="right"/>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公章</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p>
          <w:p w14:paraId="6CB58FE7">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4D0F095D">
            <w:pPr>
              <w:pageBreakBefore w:val="0"/>
              <w:kinsoku/>
              <w:wordWrap/>
              <w:bidi w:val="0"/>
              <w:adjustRightInd w:val="0"/>
              <w:snapToGrid w:val="0"/>
              <w:spacing w:line="360" w:lineRule="auto"/>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经办人：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14:paraId="65AD5180">
            <w:pPr>
              <w:pageBreakBefore w:val="0"/>
              <w:kinsoku/>
              <w:bidi w:val="0"/>
              <w:adjustRightInd w:val="0"/>
              <w:snapToGrid w:val="0"/>
              <w:spacing w:line="360" w:lineRule="auto"/>
              <w:rPr>
                <w:rFonts w:hint="default" w:ascii="Times New Roman" w:hAnsi="Times New Roman" w:eastAsia="宋体" w:cs="Times New Roman"/>
                <w:color w:val="000000" w:themeColor="text1"/>
                <w:sz w:val="28"/>
                <w14:textFill>
                  <w14:solidFill>
                    <w14:schemeClr w14:val="tx1"/>
                  </w14:solidFill>
                </w14:textFill>
              </w:rPr>
            </w:pPr>
          </w:p>
        </w:tc>
      </w:tr>
      <w:tr w14:paraId="5DB7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9" w:hRule="atLeast"/>
        </w:trPr>
        <w:tc>
          <w:tcPr>
            <w:tcW w:w="9043" w:type="dxa"/>
            <w:tcBorders>
              <w:bottom w:val="single" w:color="auto" w:sz="4" w:space="0"/>
            </w:tcBorders>
            <w:noWrap w:val="0"/>
            <w:vAlign w:val="top"/>
          </w:tcPr>
          <w:p w14:paraId="101CD343">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下一级环境保护行政主管部门审查意见：</w:t>
            </w:r>
          </w:p>
          <w:p w14:paraId="799213EF">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291BB8DF">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142E40A4">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18287EE6">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5A489EF4">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5E0F057D">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2901C753">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5ADF869A">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592044D5">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136FC4E2">
            <w:pPr>
              <w:pageBreakBefore w:val="0"/>
              <w:kinsoku/>
              <w:wordWrap w:val="0"/>
              <w:bidi w:val="0"/>
              <w:adjustRightInd w:val="0"/>
              <w:snapToGrid w:val="0"/>
              <w:spacing w:line="360" w:lineRule="auto"/>
              <w:jc w:val="right"/>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公章     </w:t>
            </w:r>
          </w:p>
          <w:p w14:paraId="61CC6600">
            <w:pPr>
              <w:pageBreakBefore w:val="0"/>
              <w:kinsoku/>
              <w:bidi w:val="0"/>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p>
          <w:p w14:paraId="41300CAA">
            <w:pPr>
              <w:pageBreakBefore w:val="0"/>
              <w:kinsoku/>
              <w:bidi w:val="0"/>
              <w:adjustRightInd w:val="0"/>
              <w:snapToGrid w:val="0"/>
              <w:spacing w:line="360" w:lineRule="auto"/>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经办人：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月</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日</w:t>
            </w:r>
          </w:p>
          <w:p w14:paraId="71D2F18A">
            <w:pPr>
              <w:pStyle w:val="16"/>
              <w:pageBreakBefore w:val="0"/>
              <w:kinsoku/>
              <w:bidi w:val="0"/>
              <w:adjustRightInd w:val="0"/>
              <w:snapToGrid w:val="0"/>
              <w:rPr>
                <w:rFonts w:hint="default" w:ascii="Times New Roman" w:hAnsi="Times New Roman" w:eastAsia="宋体" w:cs="Times New Roman"/>
                <w:color w:val="000000" w:themeColor="text1"/>
                <w14:textFill>
                  <w14:solidFill>
                    <w14:schemeClr w14:val="tx1"/>
                  </w14:solidFill>
                </w14:textFill>
              </w:rPr>
            </w:pPr>
          </w:p>
        </w:tc>
      </w:tr>
    </w:tbl>
    <w:p w14:paraId="10A037F5">
      <w:pPr>
        <w:pStyle w:val="3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outlineLvl w:val="9"/>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p>
    <w:p w14:paraId="4DD531E0">
      <w:pPr>
        <w:pStyle w:val="3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outlineLvl w:val="9"/>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附图</w:t>
      </w:r>
    </w:p>
    <w:p w14:paraId="22A34CC9">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1、本项目</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地理位置图</w:t>
      </w:r>
    </w:p>
    <w:p w14:paraId="038811BA">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2、本项目</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厂界</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周边500m</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范围</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概况图</w:t>
      </w:r>
    </w:p>
    <w:p w14:paraId="1D7C6D10">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3、本项目厂区平面布置图</w:t>
      </w:r>
    </w:p>
    <w:p w14:paraId="67401BE0">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周边</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水系图</w:t>
      </w:r>
    </w:p>
    <w:p w14:paraId="013DC7E2">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5、本项目所在地土地利用规划图</w:t>
      </w:r>
    </w:p>
    <w:p w14:paraId="73DCED4F">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6、吴江区生态空间管控区域分布图</w:t>
      </w:r>
    </w:p>
    <w:p w14:paraId="27A4B6D2">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7-1</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本项目与华电工业集聚区位置关系图</w:t>
      </w:r>
    </w:p>
    <w:p w14:paraId="44F33A56">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7-2</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本项目与草荡重要湿地位置关系图</w:t>
      </w:r>
    </w:p>
    <w:p w14:paraId="72BE6FF1">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7-3</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本项目与与太湖重要湿地（吴江区）位置关系图</w:t>
      </w:r>
    </w:p>
    <w:p w14:paraId="0902481C">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p>
    <w:p w14:paraId="3EB3DA69">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附件</w:t>
      </w:r>
    </w:p>
    <w:p w14:paraId="31542A87">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备案证</w:t>
      </w:r>
    </w:p>
    <w:p w14:paraId="4254BDFC">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、营业执照</w:t>
      </w:r>
      <w:r>
        <w:rPr>
          <w:rFonts w:hint="eastAsia" w:cs="Times New Roman"/>
          <w:color w:val="000000" w:themeColor="text1"/>
          <w:kern w:val="0"/>
          <w:sz w:val="24"/>
          <w:szCs w:val="24"/>
          <w:lang w:val="en-US" w:eastAsia="zh-CN" w:bidi="ar-SA"/>
          <w14:textFill>
            <w14:solidFill>
              <w14:schemeClr w14:val="tx1"/>
            </w14:solidFill>
          </w14:textFill>
        </w:rPr>
        <w:t>及法人身份证</w:t>
      </w:r>
    </w:p>
    <w:p w14:paraId="70560EB5">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不动产权证</w:t>
      </w:r>
    </w:p>
    <w:p w14:paraId="2CF5BA80">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4、排污许可</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证</w:t>
      </w:r>
    </w:p>
    <w:p w14:paraId="79F4732B">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5、污水接管协议</w:t>
      </w:r>
    </w:p>
    <w:p w14:paraId="2F498965">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6、危废处置协议</w:t>
      </w:r>
    </w:p>
    <w:p w14:paraId="117D838E">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7</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、现有项目批复</w:t>
      </w:r>
    </w:p>
    <w:p w14:paraId="478E71AB">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8</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、现有项目验收批文</w:t>
      </w:r>
    </w:p>
    <w:p w14:paraId="61C9DE68">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9</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噪声现状检测报告（厂界+声环境保护目标）</w:t>
      </w:r>
    </w:p>
    <w:p w14:paraId="2C3ED9BD">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、现有例行监测报告</w:t>
      </w:r>
    </w:p>
    <w:p w14:paraId="70CCE5F3">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11、生态管控报告书</w:t>
      </w:r>
    </w:p>
    <w:p w14:paraId="590D8D0F">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12、环评承诺书</w:t>
      </w:r>
    </w:p>
    <w:p w14:paraId="17D46CAE">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13、现场勘查表</w:t>
      </w:r>
    </w:p>
    <w:p w14:paraId="001B5408">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14、污水环评现场勘查意见书</w:t>
      </w:r>
    </w:p>
    <w:p w14:paraId="56644F62">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eastAsia"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15、大运河建成区情况说明</w:t>
      </w:r>
    </w:p>
    <w:p w14:paraId="3B117952">
      <w:pPr>
        <w:pStyle w:val="16"/>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textAlignment w:val="auto"/>
        <w:outlineLvl w:val="9"/>
        <w:rPr>
          <w:rFonts w:hint="default"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16、工程师现场勘查照片</w:t>
      </w:r>
    </w:p>
    <w:p w14:paraId="6AC24128">
      <w:pPr>
        <w:pStyle w:val="45"/>
        <w:rPr>
          <w:rFonts w:hint="default" w:ascii="Times New Roman" w:hAnsi="Times New Roman" w:eastAsia="宋体" w:cs="Times New Roman"/>
          <w:color w:val="000000" w:themeColor="text1"/>
          <w:highlight w:val="none"/>
          <w14:textFill>
            <w14:solidFill>
              <w14:schemeClr w14:val="tx1"/>
            </w14:solidFill>
          </w14:textFill>
        </w:rPr>
      </w:pPr>
    </w:p>
    <w:sectPr>
      <w:pgSz w:w="11906" w:h="16838"/>
      <w:pgMar w:top="1701" w:right="1531" w:bottom="1701" w:left="1531" w:header="851" w:footer="850"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逐浪创艺粗黑">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EB082">
    <w:pPr>
      <w:jc w:val="center"/>
    </w:pPr>
    <w:r>
      <w:rPr>
        <w:szCs w:val="21"/>
      </w:rPr>
      <w:fldChar w:fldCharType="begin"/>
    </w:r>
    <w:r>
      <w:rPr>
        <w:szCs w:val="21"/>
      </w:rPr>
      <w:instrText xml:space="preserve">PAGE   \* MERGEFORMAT</w:instrText>
    </w:r>
    <w:r>
      <w:rPr>
        <w:szCs w:val="21"/>
      </w:rPr>
      <w:fldChar w:fldCharType="separate"/>
    </w:r>
    <w:r>
      <w:rPr>
        <w:szCs w:val="21"/>
        <w:lang w:val="zh-CN"/>
      </w:rPr>
      <w:t>2</w:t>
    </w:r>
    <w:r>
      <w:rPr>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699F3">
    <w:pPr>
      <w:jc w:val="center"/>
    </w:pPr>
    <w:r>
      <w:rPr>
        <w:szCs w:val="21"/>
      </w:rPr>
      <w:fldChar w:fldCharType="begin"/>
    </w:r>
    <w:r>
      <w:rPr>
        <w:szCs w:val="21"/>
      </w:rPr>
      <w:instrText xml:space="preserve">PAGE   \* MERGEFORMAT</w:instrText>
    </w:r>
    <w:r>
      <w:rPr>
        <w:szCs w:val="21"/>
      </w:rPr>
      <w:fldChar w:fldCharType="separate"/>
    </w:r>
    <w:r>
      <w:rPr>
        <w:szCs w:val="21"/>
        <w:lang w:val="zh-CN"/>
      </w:rPr>
      <w:t>60</w:t>
    </w:r>
    <w:r>
      <w:rPr>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25A05D"/>
    <w:multiLevelType w:val="singleLevel"/>
    <w:tmpl w:val="A425A05D"/>
    <w:lvl w:ilvl="0" w:tentative="0">
      <w:start w:val="10"/>
      <w:numFmt w:val="decimal"/>
      <w:suff w:val="nothing"/>
      <w:lvlText w:val="%1、"/>
      <w:lvlJc w:val="left"/>
    </w:lvl>
  </w:abstractNum>
  <w:abstractNum w:abstractNumId="1">
    <w:nsid w:val="C53240B7"/>
    <w:multiLevelType w:val="singleLevel"/>
    <w:tmpl w:val="C53240B7"/>
    <w:lvl w:ilvl="0" w:tentative="0">
      <w:start w:val="9"/>
      <w:numFmt w:val="decimal"/>
      <w:suff w:val="nothing"/>
      <w:lvlText w:val="%1、"/>
      <w:lvlJc w:val="left"/>
    </w:lvl>
  </w:abstractNum>
  <w:abstractNum w:abstractNumId="2">
    <w:nsid w:val="DEE04DB9"/>
    <w:multiLevelType w:val="singleLevel"/>
    <w:tmpl w:val="DEE04DB9"/>
    <w:lvl w:ilvl="0" w:tentative="0">
      <w:start w:val="2"/>
      <w:numFmt w:val="chineseCounting"/>
      <w:suff w:val="nothing"/>
      <w:lvlText w:val="%1、"/>
      <w:lvlJc w:val="left"/>
      <w:rPr>
        <w:rFonts w:hint="eastAsia"/>
      </w:rPr>
    </w:lvl>
  </w:abstractNum>
  <w:abstractNum w:abstractNumId="3">
    <w:nsid w:val="106535D0"/>
    <w:multiLevelType w:val="multilevel"/>
    <w:tmpl w:val="106535D0"/>
    <w:lvl w:ilvl="0" w:tentative="0">
      <w:start w:val="1"/>
      <w:numFmt w:val="decimal"/>
      <w:lvlText w:val="%1、"/>
      <w:lvlJc w:val="left"/>
      <w:pPr>
        <w:ind w:left="932" w:hanging="360"/>
      </w:pPr>
      <w:rPr>
        <w:rFonts w:hint="default" w:ascii="Times New Roman" w:hAnsi="Times New Roman" w:cs="Times New Roman"/>
      </w:rPr>
    </w:lvl>
    <w:lvl w:ilvl="1" w:tentative="0">
      <w:start w:val="1"/>
      <w:numFmt w:val="lowerLetter"/>
      <w:lvlText w:val="%2)"/>
      <w:lvlJc w:val="left"/>
      <w:pPr>
        <w:ind w:left="1412" w:hanging="420"/>
      </w:pPr>
      <w:rPr>
        <w:rFonts w:hint="default" w:ascii="Times New Roman" w:hAnsi="Times New Roman" w:cs="Times New Roman"/>
      </w:rPr>
    </w:lvl>
    <w:lvl w:ilvl="2" w:tentative="0">
      <w:start w:val="1"/>
      <w:numFmt w:val="lowerRoman"/>
      <w:lvlText w:val="%3."/>
      <w:lvlJc w:val="right"/>
      <w:pPr>
        <w:ind w:left="1832" w:hanging="420"/>
      </w:pPr>
      <w:rPr>
        <w:rFonts w:hint="default" w:ascii="Times New Roman" w:hAnsi="Times New Roman" w:cs="Times New Roman"/>
      </w:rPr>
    </w:lvl>
    <w:lvl w:ilvl="3" w:tentative="0">
      <w:start w:val="1"/>
      <w:numFmt w:val="decimal"/>
      <w:lvlText w:val="%4."/>
      <w:lvlJc w:val="left"/>
      <w:pPr>
        <w:ind w:left="2252" w:hanging="420"/>
      </w:pPr>
      <w:rPr>
        <w:rFonts w:hint="default" w:ascii="Times New Roman" w:hAnsi="Times New Roman" w:cs="Times New Roman"/>
      </w:rPr>
    </w:lvl>
    <w:lvl w:ilvl="4" w:tentative="0">
      <w:start w:val="1"/>
      <w:numFmt w:val="lowerLetter"/>
      <w:lvlText w:val="%5)"/>
      <w:lvlJc w:val="left"/>
      <w:pPr>
        <w:ind w:left="2672" w:hanging="420"/>
      </w:pPr>
      <w:rPr>
        <w:rFonts w:hint="default" w:ascii="Times New Roman" w:hAnsi="Times New Roman" w:cs="Times New Roman"/>
      </w:rPr>
    </w:lvl>
    <w:lvl w:ilvl="5" w:tentative="0">
      <w:start w:val="1"/>
      <w:numFmt w:val="lowerRoman"/>
      <w:lvlText w:val="%6."/>
      <w:lvlJc w:val="right"/>
      <w:pPr>
        <w:ind w:left="3092" w:hanging="420"/>
      </w:pPr>
      <w:rPr>
        <w:rFonts w:hint="default" w:ascii="Times New Roman" w:hAnsi="Times New Roman" w:cs="Times New Roman"/>
      </w:rPr>
    </w:lvl>
    <w:lvl w:ilvl="6" w:tentative="0">
      <w:start w:val="1"/>
      <w:numFmt w:val="decimal"/>
      <w:lvlText w:val="%7."/>
      <w:lvlJc w:val="left"/>
      <w:pPr>
        <w:ind w:left="3512" w:hanging="420"/>
      </w:pPr>
      <w:rPr>
        <w:rFonts w:hint="default" w:ascii="Times New Roman" w:hAnsi="Times New Roman" w:cs="Times New Roman"/>
      </w:rPr>
    </w:lvl>
    <w:lvl w:ilvl="7" w:tentative="0">
      <w:start w:val="1"/>
      <w:numFmt w:val="lowerLetter"/>
      <w:lvlText w:val="%8)"/>
      <w:lvlJc w:val="left"/>
      <w:pPr>
        <w:ind w:left="3932" w:hanging="420"/>
      </w:pPr>
      <w:rPr>
        <w:rFonts w:hint="default" w:ascii="Times New Roman" w:hAnsi="Times New Roman" w:cs="Times New Roman"/>
      </w:rPr>
    </w:lvl>
    <w:lvl w:ilvl="8" w:tentative="0">
      <w:start w:val="1"/>
      <w:numFmt w:val="lowerRoman"/>
      <w:lvlText w:val="%9."/>
      <w:lvlJc w:val="right"/>
      <w:pPr>
        <w:ind w:left="4352" w:hanging="420"/>
      </w:pPr>
      <w:rPr>
        <w:rFonts w:hint="default" w:ascii="Times New Roman" w:hAnsi="Times New Roman" w:cs="Times New Roman"/>
      </w:rPr>
    </w:lvl>
  </w:abstractNum>
  <w:abstractNum w:abstractNumId="4">
    <w:nsid w:val="206B5D9E"/>
    <w:multiLevelType w:val="multilevel"/>
    <w:tmpl w:val="206B5D9E"/>
    <w:lvl w:ilvl="0" w:tentative="0">
      <w:start w:val="3"/>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23546A99"/>
    <w:multiLevelType w:val="singleLevel"/>
    <w:tmpl w:val="23546A99"/>
    <w:lvl w:ilvl="0" w:tentative="0">
      <w:start w:val="2"/>
      <w:numFmt w:val="chineseCounting"/>
      <w:suff w:val="nothing"/>
      <w:lvlText w:val="%1、"/>
      <w:lvlJc w:val="left"/>
      <w:rPr>
        <w:rFonts w:hint="eastAsia"/>
      </w:rPr>
    </w:lvl>
  </w:abstractNum>
  <w:abstractNum w:abstractNumId="6">
    <w:nsid w:val="4D0B657A"/>
    <w:multiLevelType w:val="multilevel"/>
    <w:tmpl w:val="4D0B657A"/>
    <w:lvl w:ilvl="0" w:tentative="0">
      <w:start w:val="1"/>
      <w:numFmt w:val="decimal"/>
      <w:lvlText w:val="%1、"/>
      <w:lvlJc w:val="left"/>
      <w:pPr>
        <w:ind w:left="360" w:hanging="36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65667573"/>
    <w:multiLevelType w:val="singleLevel"/>
    <w:tmpl w:val="65667573"/>
    <w:lvl w:ilvl="0" w:tentative="0">
      <w:start w:val="4"/>
      <w:numFmt w:val="decimal"/>
      <w:suff w:val="nothing"/>
      <w:lvlText w:val="（%1）"/>
      <w:lvlJc w:val="left"/>
    </w:lvl>
  </w:abstractNum>
  <w:abstractNum w:abstractNumId="8">
    <w:nsid w:val="6D56445C"/>
    <w:multiLevelType w:val="multilevel"/>
    <w:tmpl w:val="6D56445C"/>
    <w:lvl w:ilvl="0" w:tentative="0">
      <w:start w:val="1"/>
      <w:numFmt w:val="decimal"/>
      <w:lvlText w:val="（%1）"/>
      <w:lvlJc w:val="left"/>
      <w:pPr>
        <w:ind w:left="1033" w:hanging="720"/>
      </w:pPr>
      <w:rPr>
        <w:rFonts w:hint="default"/>
      </w:rPr>
    </w:lvl>
    <w:lvl w:ilvl="1" w:tentative="0">
      <w:start w:val="1"/>
      <w:numFmt w:val="decimalEnclosedCircle"/>
      <w:lvlText w:val="%2"/>
      <w:lvlJc w:val="left"/>
      <w:pPr>
        <w:ind w:left="1093" w:hanging="360"/>
      </w:pPr>
      <w:rPr>
        <w:rFonts w:hint="default" w:ascii="宋体" w:hAnsi="宋体"/>
      </w:rPr>
    </w:lvl>
    <w:lvl w:ilvl="2" w:tentative="0">
      <w:start w:val="1"/>
      <w:numFmt w:val="lowerRoman"/>
      <w:lvlText w:val="%3."/>
      <w:lvlJc w:val="right"/>
      <w:pPr>
        <w:ind w:left="1573" w:hanging="420"/>
      </w:pPr>
    </w:lvl>
    <w:lvl w:ilvl="3" w:tentative="0">
      <w:start w:val="1"/>
      <w:numFmt w:val="decimal"/>
      <w:lvlText w:val="%4."/>
      <w:lvlJc w:val="left"/>
      <w:pPr>
        <w:ind w:left="1993" w:hanging="420"/>
      </w:pPr>
    </w:lvl>
    <w:lvl w:ilvl="4" w:tentative="0">
      <w:start w:val="1"/>
      <w:numFmt w:val="lowerLetter"/>
      <w:lvlText w:val="%5)"/>
      <w:lvlJc w:val="left"/>
      <w:pPr>
        <w:ind w:left="2413" w:hanging="420"/>
      </w:pPr>
    </w:lvl>
    <w:lvl w:ilvl="5" w:tentative="0">
      <w:start w:val="1"/>
      <w:numFmt w:val="lowerRoman"/>
      <w:lvlText w:val="%6."/>
      <w:lvlJc w:val="right"/>
      <w:pPr>
        <w:ind w:left="2833" w:hanging="420"/>
      </w:pPr>
    </w:lvl>
    <w:lvl w:ilvl="6" w:tentative="0">
      <w:start w:val="1"/>
      <w:numFmt w:val="decimal"/>
      <w:lvlText w:val="%7."/>
      <w:lvlJc w:val="left"/>
      <w:pPr>
        <w:ind w:left="3253" w:hanging="420"/>
      </w:pPr>
    </w:lvl>
    <w:lvl w:ilvl="7" w:tentative="0">
      <w:start w:val="1"/>
      <w:numFmt w:val="lowerLetter"/>
      <w:lvlText w:val="%8)"/>
      <w:lvlJc w:val="left"/>
      <w:pPr>
        <w:ind w:left="3673" w:hanging="420"/>
      </w:pPr>
    </w:lvl>
    <w:lvl w:ilvl="8" w:tentative="0">
      <w:start w:val="1"/>
      <w:numFmt w:val="lowerRoman"/>
      <w:lvlText w:val="%9."/>
      <w:lvlJc w:val="right"/>
      <w:pPr>
        <w:ind w:left="4093" w:hanging="420"/>
      </w:pPr>
    </w:lvl>
  </w:abstractNum>
  <w:num w:numId="1">
    <w:abstractNumId w:val="6"/>
  </w:num>
  <w:num w:numId="2">
    <w:abstractNumId w:val="7"/>
  </w:num>
  <w:num w:numId="3">
    <w:abstractNumId w:val="0"/>
  </w:num>
  <w:num w:numId="4">
    <w:abstractNumId w:val="5"/>
  </w:num>
  <w:num w:numId="5">
    <w:abstractNumId w:val="1"/>
  </w:num>
  <w:num w:numId="6">
    <w:abstractNumId w:val="2"/>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isplayHorizontalDrawingGridEvery w:val="1"/>
  <w:displayVerticalDrawingGridEvery w:val="1"/>
  <w:noPunctuationKerning w:val="1"/>
  <w:characterSpacingControl w:val="doNotCompress"/>
  <w:noLineBreaksAfter w:lang="zh-CN" w:val="([{·‘“〈《「『【〔〖（．［｛￡￥"/>
  <w:noLineBreaksBefore w:lang="zh-CN" w:val="!),.:;?]}¨·ˇˉ―‖’”…∶、。〃々〉》」』】〕〗！＂＇），．：；？］｀｜｝～￠"/>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5NTg1Mzc4MmE5ZjJhOGUwMTc2NTcxOTk3YWM4MmMifQ=="/>
  </w:docVars>
  <w:rsids>
    <w:rsidRoot w:val="00172A27"/>
    <w:rsid w:val="00000547"/>
    <w:rsid w:val="00000888"/>
    <w:rsid w:val="00000B8B"/>
    <w:rsid w:val="00000D68"/>
    <w:rsid w:val="00001200"/>
    <w:rsid w:val="00001226"/>
    <w:rsid w:val="000019A7"/>
    <w:rsid w:val="00001ECC"/>
    <w:rsid w:val="0000226E"/>
    <w:rsid w:val="00002350"/>
    <w:rsid w:val="0000299E"/>
    <w:rsid w:val="00002E03"/>
    <w:rsid w:val="00003054"/>
    <w:rsid w:val="00003184"/>
    <w:rsid w:val="000032A3"/>
    <w:rsid w:val="0000338A"/>
    <w:rsid w:val="0000352C"/>
    <w:rsid w:val="00003D84"/>
    <w:rsid w:val="00004F0E"/>
    <w:rsid w:val="000060B3"/>
    <w:rsid w:val="0000649B"/>
    <w:rsid w:val="00006513"/>
    <w:rsid w:val="00006654"/>
    <w:rsid w:val="00006EB7"/>
    <w:rsid w:val="00007729"/>
    <w:rsid w:val="00007D9F"/>
    <w:rsid w:val="00007EF4"/>
    <w:rsid w:val="00007F6A"/>
    <w:rsid w:val="000102D7"/>
    <w:rsid w:val="00010363"/>
    <w:rsid w:val="00010A98"/>
    <w:rsid w:val="00010B23"/>
    <w:rsid w:val="00010C9B"/>
    <w:rsid w:val="00010F6F"/>
    <w:rsid w:val="000114BB"/>
    <w:rsid w:val="00011B6E"/>
    <w:rsid w:val="00011C14"/>
    <w:rsid w:val="00011DE6"/>
    <w:rsid w:val="00012315"/>
    <w:rsid w:val="000128F6"/>
    <w:rsid w:val="00012F31"/>
    <w:rsid w:val="0001318F"/>
    <w:rsid w:val="000132A2"/>
    <w:rsid w:val="000132D9"/>
    <w:rsid w:val="00014232"/>
    <w:rsid w:val="0001436E"/>
    <w:rsid w:val="00014789"/>
    <w:rsid w:val="00014826"/>
    <w:rsid w:val="00015A80"/>
    <w:rsid w:val="00015C1C"/>
    <w:rsid w:val="00016B72"/>
    <w:rsid w:val="00016BEA"/>
    <w:rsid w:val="00016C3F"/>
    <w:rsid w:val="0001788C"/>
    <w:rsid w:val="00017CC9"/>
    <w:rsid w:val="00017E49"/>
    <w:rsid w:val="000211C5"/>
    <w:rsid w:val="0002166B"/>
    <w:rsid w:val="00023135"/>
    <w:rsid w:val="0002348A"/>
    <w:rsid w:val="00023590"/>
    <w:rsid w:val="00023E3C"/>
    <w:rsid w:val="00024164"/>
    <w:rsid w:val="00024480"/>
    <w:rsid w:val="00024850"/>
    <w:rsid w:val="00024876"/>
    <w:rsid w:val="0002490C"/>
    <w:rsid w:val="0002525C"/>
    <w:rsid w:val="00025426"/>
    <w:rsid w:val="00025F3E"/>
    <w:rsid w:val="00026171"/>
    <w:rsid w:val="00026666"/>
    <w:rsid w:val="0002683D"/>
    <w:rsid w:val="000271B6"/>
    <w:rsid w:val="00027772"/>
    <w:rsid w:val="00027DE8"/>
    <w:rsid w:val="00027FC1"/>
    <w:rsid w:val="00030C0F"/>
    <w:rsid w:val="00030C9C"/>
    <w:rsid w:val="00030DD4"/>
    <w:rsid w:val="00030E15"/>
    <w:rsid w:val="0003346B"/>
    <w:rsid w:val="0003352F"/>
    <w:rsid w:val="00033B3F"/>
    <w:rsid w:val="0003458C"/>
    <w:rsid w:val="00034682"/>
    <w:rsid w:val="00035A34"/>
    <w:rsid w:val="00035AA6"/>
    <w:rsid w:val="000361C8"/>
    <w:rsid w:val="00036B28"/>
    <w:rsid w:val="00036BAC"/>
    <w:rsid w:val="00037128"/>
    <w:rsid w:val="0003730D"/>
    <w:rsid w:val="000373EF"/>
    <w:rsid w:val="000377E9"/>
    <w:rsid w:val="00037970"/>
    <w:rsid w:val="00037AB7"/>
    <w:rsid w:val="000408F1"/>
    <w:rsid w:val="00040B85"/>
    <w:rsid w:val="0004165D"/>
    <w:rsid w:val="000417B5"/>
    <w:rsid w:val="00042172"/>
    <w:rsid w:val="00042303"/>
    <w:rsid w:val="000424F6"/>
    <w:rsid w:val="00042716"/>
    <w:rsid w:val="00042F6F"/>
    <w:rsid w:val="00043510"/>
    <w:rsid w:val="000435BF"/>
    <w:rsid w:val="0004364B"/>
    <w:rsid w:val="00043D05"/>
    <w:rsid w:val="000442BD"/>
    <w:rsid w:val="00044898"/>
    <w:rsid w:val="000457FC"/>
    <w:rsid w:val="000462D6"/>
    <w:rsid w:val="00046425"/>
    <w:rsid w:val="000478D0"/>
    <w:rsid w:val="00047D29"/>
    <w:rsid w:val="0005031C"/>
    <w:rsid w:val="000507A1"/>
    <w:rsid w:val="00050906"/>
    <w:rsid w:val="00050D71"/>
    <w:rsid w:val="00050F12"/>
    <w:rsid w:val="000516F3"/>
    <w:rsid w:val="000531C8"/>
    <w:rsid w:val="0005361C"/>
    <w:rsid w:val="000542B3"/>
    <w:rsid w:val="00054738"/>
    <w:rsid w:val="00054C3E"/>
    <w:rsid w:val="00055105"/>
    <w:rsid w:val="0005511D"/>
    <w:rsid w:val="000551B4"/>
    <w:rsid w:val="00055237"/>
    <w:rsid w:val="0005583F"/>
    <w:rsid w:val="00055CD7"/>
    <w:rsid w:val="00056263"/>
    <w:rsid w:val="0005679E"/>
    <w:rsid w:val="00056C5D"/>
    <w:rsid w:val="00056C9D"/>
    <w:rsid w:val="00057B71"/>
    <w:rsid w:val="00057DC5"/>
    <w:rsid w:val="00057E80"/>
    <w:rsid w:val="0006016C"/>
    <w:rsid w:val="00060620"/>
    <w:rsid w:val="000608F2"/>
    <w:rsid w:val="00060C3F"/>
    <w:rsid w:val="0006123C"/>
    <w:rsid w:val="000613B7"/>
    <w:rsid w:val="000615AE"/>
    <w:rsid w:val="000618D2"/>
    <w:rsid w:val="00061B1F"/>
    <w:rsid w:val="00061EAD"/>
    <w:rsid w:val="00061EC4"/>
    <w:rsid w:val="00062065"/>
    <w:rsid w:val="000622C6"/>
    <w:rsid w:val="000638F7"/>
    <w:rsid w:val="0006416B"/>
    <w:rsid w:val="00064798"/>
    <w:rsid w:val="00064C68"/>
    <w:rsid w:val="000655E0"/>
    <w:rsid w:val="00065963"/>
    <w:rsid w:val="000660BD"/>
    <w:rsid w:val="00066668"/>
    <w:rsid w:val="00067005"/>
    <w:rsid w:val="00067499"/>
    <w:rsid w:val="0007020E"/>
    <w:rsid w:val="00070656"/>
    <w:rsid w:val="000715FC"/>
    <w:rsid w:val="00071E54"/>
    <w:rsid w:val="000721A9"/>
    <w:rsid w:val="00072D53"/>
    <w:rsid w:val="0007325C"/>
    <w:rsid w:val="000733C4"/>
    <w:rsid w:val="00073F98"/>
    <w:rsid w:val="000741D4"/>
    <w:rsid w:val="00074638"/>
    <w:rsid w:val="00074783"/>
    <w:rsid w:val="00074DC3"/>
    <w:rsid w:val="00075595"/>
    <w:rsid w:val="000757C7"/>
    <w:rsid w:val="000759D3"/>
    <w:rsid w:val="00076556"/>
    <w:rsid w:val="000765BE"/>
    <w:rsid w:val="0008023E"/>
    <w:rsid w:val="0008070B"/>
    <w:rsid w:val="00080CA2"/>
    <w:rsid w:val="00080E2F"/>
    <w:rsid w:val="00080FB4"/>
    <w:rsid w:val="000810AC"/>
    <w:rsid w:val="000818A7"/>
    <w:rsid w:val="00081A02"/>
    <w:rsid w:val="00082231"/>
    <w:rsid w:val="00084B3C"/>
    <w:rsid w:val="00084E6D"/>
    <w:rsid w:val="0008544E"/>
    <w:rsid w:val="00085DF9"/>
    <w:rsid w:val="000863B6"/>
    <w:rsid w:val="00087EF1"/>
    <w:rsid w:val="00090B3B"/>
    <w:rsid w:val="00091261"/>
    <w:rsid w:val="000915DB"/>
    <w:rsid w:val="000916C6"/>
    <w:rsid w:val="000917C4"/>
    <w:rsid w:val="000917DF"/>
    <w:rsid w:val="0009227E"/>
    <w:rsid w:val="0009246E"/>
    <w:rsid w:val="0009248D"/>
    <w:rsid w:val="00092A5A"/>
    <w:rsid w:val="00092D38"/>
    <w:rsid w:val="000933A1"/>
    <w:rsid w:val="000935FB"/>
    <w:rsid w:val="000936AB"/>
    <w:rsid w:val="0009377B"/>
    <w:rsid w:val="00093CBD"/>
    <w:rsid w:val="00094905"/>
    <w:rsid w:val="00094975"/>
    <w:rsid w:val="000954A7"/>
    <w:rsid w:val="000956FF"/>
    <w:rsid w:val="00095F3F"/>
    <w:rsid w:val="00096D94"/>
    <w:rsid w:val="0009725A"/>
    <w:rsid w:val="000973D6"/>
    <w:rsid w:val="000A0F4B"/>
    <w:rsid w:val="000A11DF"/>
    <w:rsid w:val="000A1BCC"/>
    <w:rsid w:val="000A1EF3"/>
    <w:rsid w:val="000A20C9"/>
    <w:rsid w:val="000A213D"/>
    <w:rsid w:val="000A28C1"/>
    <w:rsid w:val="000A2CE5"/>
    <w:rsid w:val="000A31F9"/>
    <w:rsid w:val="000A417F"/>
    <w:rsid w:val="000A44E3"/>
    <w:rsid w:val="000A4DA7"/>
    <w:rsid w:val="000A5190"/>
    <w:rsid w:val="000A51D2"/>
    <w:rsid w:val="000A53EA"/>
    <w:rsid w:val="000A5CBA"/>
    <w:rsid w:val="000A5D4D"/>
    <w:rsid w:val="000A60D6"/>
    <w:rsid w:val="000A7468"/>
    <w:rsid w:val="000B0373"/>
    <w:rsid w:val="000B03AB"/>
    <w:rsid w:val="000B058F"/>
    <w:rsid w:val="000B0AC3"/>
    <w:rsid w:val="000B111B"/>
    <w:rsid w:val="000B1196"/>
    <w:rsid w:val="000B12C8"/>
    <w:rsid w:val="000B13C3"/>
    <w:rsid w:val="000B157B"/>
    <w:rsid w:val="000B17BE"/>
    <w:rsid w:val="000B259B"/>
    <w:rsid w:val="000B2634"/>
    <w:rsid w:val="000B279F"/>
    <w:rsid w:val="000B2850"/>
    <w:rsid w:val="000B3347"/>
    <w:rsid w:val="000B33C8"/>
    <w:rsid w:val="000B3B10"/>
    <w:rsid w:val="000B3EA3"/>
    <w:rsid w:val="000B4467"/>
    <w:rsid w:val="000B4A03"/>
    <w:rsid w:val="000B4DB9"/>
    <w:rsid w:val="000B5449"/>
    <w:rsid w:val="000B5C1C"/>
    <w:rsid w:val="000B636B"/>
    <w:rsid w:val="000B6761"/>
    <w:rsid w:val="000B7023"/>
    <w:rsid w:val="000B7834"/>
    <w:rsid w:val="000B7A52"/>
    <w:rsid w:val="000C09AC"/>
    <w:rsid w:val="000C18AB"/>
    <w:rsid w:val="000C261B"/>
    <w:rsid w:val="000C35C6"/>
    <w:rsid w:val="000C3BD3"/>
    <w:rsid w:val="000C4237"/>
    <w:rsid w:val="000C5E00"/>
    <w:rsid w:val="000C6D1E"/>
    <w:rsid w:val="000C702C"/>
    <w:rsid w:val="000C7129"/>
    <w:rsid w:val="000C74FE"/>
    <w:rsid w:val="000C767F"/>
    <w:rsid w:val="000C78DF"/>
    <w:rsid w:val="000D01CE"/>
    <w:rsid w:val="000D0822"/>
    <w:rsid w:val="000D08F9"/>
    <w:rsid w:val="000D0D2C"/>
    <w:rsid w:val="000D18D2"/>
    <w:rsid w:val="000D19B5"/>
    <w:rsid w:val="000D2608"/>
    <w:rsid w:val="000D2CE1"/>
    <w:rsid w:val="000D2D77"/>
    <w:rsid w:val="000D2E64"/>
    <w:rsid w:val="000D3395"/>
    <w:rsid w:val="000D35BD"/>
    <w:rsid w:val="000D3D9B"/>
    <w:rsid w:val="000D496D"/>
    <w:rsid w:val="000D4FF3"/>
    <w:rsid w:val="000D567A"/>
    <w:rsid w:val="000D57E3"/>
    <w:rsid w:val="000D5A44"/>
    <w:rsid w:val="000D7167"/>
    <w:rsid w:val="000E1DCE"/>
    <w:rsid w:val="000E2FD5"/>
    <w:rsid w:val="000E3ACF"/>
    <w:rsid w:val="000E3ED2"/>
    <w:rsid w:val="000E4169"/>
    <w:rsid w:val="000E4258"/>
    <w:rsid w:val="000E4307"/>
    <w:rsid w:val="000E51FD"/>
    <w:rsid w:val="000E52C6"/>
    <w:rsid w:val="000E561D"/>
    <w:rsid w:val="000E5A88"/>
    <w:rsid w:val="000E6112"/>
    <w:rsid w:val="000F0E24"/>
    <w:rsid w:val="000F1010"/>
    <w:rsid w:val="000F113A"/>
    <w:rsid w:val="000F1278"/>
    <w:rsid w:val="000F1707"/>
    <w:rsid w:val="000F1FF3"/>
    <w:rsid w:val="000F2CB2"/>
    <w:rsid w:val="000F2CEC"/>
    <w:rsid w:val="000F3246"/>
    <w:rsid w:val="000F3260"/>
    <w:rsid w:val="000F34A4"/>
    <w:rsid w:val="000F3618"/>
    <w:rsid w:val="000F40FF"/>
    <w:rsid w:val="000F4233"/>
    <w:rsid w:val="000F454F"/>
    <w:rsid w:val="000F4772"/>
    <w:rsid w:val="000F4CBF"/>
    <w:rsid w:val="000F5748"/>
    <w:rsid w:val="000F59F5"/>
    <w:rsid w:val="000F5A66"/>
    <w:rsid w:val="000F5BA0"/>
    <w:rsid w:val="000F5EFC"/>
    <w:rsid w:val="00100BF2"/>
    <w:rsid w:val="0010147A"/>
    <w:rsid w:val="00101589"/>
    <w:rsid w:val="00101B92"/>
    <w:rsid w:val="00103160"/>
    <w:rsid w:val="00103312"/>
    <w:rsid w:val="00103945"/>
    <w:rsid w:val="00103A0B"/>
    <w:rsid w:val="00103A4F"/>
    <w:rsid w:val="00103A5C"/>
    <w:rsid w:val="00104313"/>
    <w:rsid w:val="0010457B"/>
    <w:rsid w:val="0010487E"/>
    <w:rsid w:val="0010494A"/>
    <w:rsid w:val="00105306"/>
    <w:rsid w:val="00105376"/>
    <w:rsid w:val="0010619C"/>
    <w:rsid w:val="001061F4"/>
    <w:rsid w:val="00106275"/>
    <w:rsid w:val="00106493"/>
    <w:rsid w:val="00106762"/>
    <w:rsid w:val="001069F1"/>
    <w:rsid w:val="00106AAD"/>
    <w:rsid w:val="00106F1F"/>
    <w:rsid w:val="001071E5"/>
    <w:rsid w:val="00107C1E"/>
    <w:rsid w:val="00107F20"/>
    <w:rsid w:val="0011012B"/>
    <w:rsid w:val="00111295"/>
    <w:rsid w:val="001114B4"/>
    <w:rsid w:val="001117BD"/>
    <w:rsid w:val="001118E2"/>
    <w:rsid w:val="00111F84"/>
    <w:rsid w:val="00112550"/>
    <w:rsid w:val="001128F6"/>
    <w:rsid w:val="00112C31"/>
    <w:rsid w:val="00112E00"/>
    <w:rsid w:val="00114693"/>
    <w:rsid w:val="00114C7E"/>
    <w:rsid w:val="00114DDE"/>
    <w:rsid w:val="00114FFE"/>
    <w:rsid w:val="0011585B"/>
    <w:rsid w:val="00115DA2"/>
    <w:rsid w:val="00115E4F"/>
    <w:rsid w:val="00116FAB"/>
    <w:rsid w:val="0011706C"/>
    <w:rsid w:val="001173D0"/>
    <w:rsid w:val="00117748"/>
    <w:rsid w:val="00117CAA"/>
    <w:rsid w:val="00117D6C"/>
    <w:rsid w:val="001207A8"/>
    <w:rsid w:val="00120965"/>
    <w:rsid w:val="00120A9E"/>
    <w:rsid w:val="00120BE5"/>
    <w:rsid w:val="00120DFA"/>
    <w:rsid w:val="00121173"/>
    <w:rsid w:val="00121360"/>
    <w:rsid w:val="0012152C"/>
    <w:rsid w:val="00122745"/>
    <w:rsid w:val="001229F8"/>
    <w:rsid w:val="00123091"/>
    <w:rsid w:val="00123314"/>
    <w:rsid w:val="00124714"/>
    <w:rsid w:val="00124799"/>
    <w:rsid w:val="001254AA"/>
    <w:rsid w:val="001264BE"/>
    <w:rsid w:val="00126B80"/>
    <w:rsid w:val="00126D56"/>
    <w:rsid w:val="00127B63"/>
    <w:rsid w:val="00127D0F"/>
    <w:rsid w:val="001300D4"/>
    <w:rsid w:val="00130348"/>
    <w:rsid w:val="001311D5"/>
    <w:rsid w:val="001317F4"/>
    <w:rsid w:val="00131BD7"/>
    <w:rsid w:val="00131D1A"/>
    <w:rsid w:val="00131F42"/>
    <w:rsid w:val="00132A17"/>
    <w:rsid w:val="00133ABF"/>
    <w:rsid w:val="0013448C"/>
    <w:rsid w:val="00134A88"/>
    <w:rsid w:val="001352DE"/>
    <w:rsid w:val="001357F1"/>
    <w:rsid w:val="00135901"/>
    <w:rsid w:val="00135B8B"/>
    <w:rsid w:val="001366A8"/>
    <w:rsid w:val="00136A61"/>
    <w:rsid w:val="00136F20"/>
    <w:rsid w:val="00137942"/>
    <w:rsid w:val="00137C51"/>
    <w:rsid w:val="00140AED"/>
    <w:rsid w:val="00140FA8"/>
    <w:rsid w:val="00141306"/>
    <w:rsid w:val="00141574"/>
    <w:rsid w:val="001419A1"/>
    <w:rsid w:val="00141A2A"/>
    <w:rsid w:val="00141D90"/>
    <w:rsid w:val="00141F05"/>
    <w:rsid w:val="00142AEC"/>
    <w:rsid w:val="00142E48"/>
    <w:rsid w:val="00142FEB"/>
    <w:rsid w:val="00143922"/>
    <w:rsid w:val="00143A2D"/>
    <w:rsid w:val="00143C94"/>
    <w:rsid w:val="00143CDD"/>
    <w:rsid w:val="00143E37"/>
    <w:rsid w:val="00143FDD"/>
    <w:rsid w:val="00144A3D"/>
    <w:rsid w:val="001450F2"/>
    <w:rsid w:val="00145A41"/>
    <w:rsid w:val="0014639B"/>
    <w:rsid w:val="00146732"/>
    <w:rsid w:val="0014736C"/>
    <w:rsid w:val="001476C3"/>
    <w:rsid w:val="00147F68"/>
    <w:rsid w:val="00147F6F"/>
    <w:rsid w:val="001500F3"/>
    <w:rsid w:val="00150118"/>
    <w:rsid w:val="00151621"/>
    <w:rsid w:val="00151675"/>
    <w:rsid w:val="00151D68"/>
    <w:rsid w:val="00152701"/>
    <w:rsid w:val="001533F5"/>
    <w:rsid w:val="001534E8"/>
    <w:rsid w:val="00153635"/>
    <w:rsid w:val="00153C27"/>
    <w:rsid w:val="00153D45"/>
    <w:rsid w:val="001540EA"/>
    <w:rsid w:val="0015450E"/>
    <w:rsid w:val="00154AE5"/>
    <w:rsid w:val="00154CFA"/>
    <w:rsid w:val="001550A0"/>
    <w:rsid w:val="00155462"/>
    <w:rsid w:val="0015579A"/>
    <w:rsid w:val="00156869"/>
    <w:rsid w:val="00156A7F"/>
    <w:rsid w:val="00157435"/>
    <w:rsid w:val="00157D82"/>
    <w:rsid w:val="00160033"/>
    <w:rsid w:val="00160532"/>
    <w:rsid w:val="001605D6"/>
    <w:rsid w:val="00160749"/>
    <w:rsid w:val="00160785"/>
    <w:rsid w:val="00160800"/>
    <w:rsid w:val="00160C67"/>
    <w:rsid w:val="00161671"/>
    <w:rsid w:val="00162A08"/>
    <w:rsid w:val="00162A57"/>
    <w:rsid w:val="00162AD3"/>
    <w:rsid w:val="00162F4D"/>
    <w:rsid w:val="001637CB"/>
    <w:rsid w:val="00163D12"/>
    <w:rsid w:val="00164120"/>
    <w:rsid w:val="0016452F"/>
    <w:rsid w:val="0016504A"/>
    <w:rsid w:val="00165162"/>
    <w:rsid w:val="001655B5"/>
    <w:rsid w:val="001656DF"/>
    <w:rsid w:val="00165763"/>
    <w:rsid w:val="00165E97"/>
    <w:rsid w:val="001668BB"/>
    <w:rsid w:val="0016693C"/>
    <w:rsid w:val="00166B0F"/>
    <w:rsid w:val="00166E2D"/>
    <w:rsid w:val="00166FD7"/>
    <w:rsid w:val="00167A28"/>
    <w:rsid w:val="00167CED"/>
    <w:rsid w:val="00170191"/>
    <w:rsid w:val="00170FAA"/>
    <w:rsid w:val="00171A0D"/>
    <w:rsid w:val="00172065"/>
    <w:rsid w:val="0017215A"/>
    <w:rsid w:val="00172463"/>
    <w:rsid w:val="00172544"/>
    <w:rsid w:val="00172853"/>
    <w:rsid w:val="00172A27"/>
    <w:rsid w:val="00172C66"/>
    <w:rsid w:val="00172DFD"/>
    <w:rsid w:val="001736D6"/>
    <w:rsid w:val="00173EA2"/>
    <w:rsid w:val="001743B7"/>
    <w:rsid w:val="00174467"/>
    <w:rsid w:val="0017504D"/>
    <w:rsid w:val="0017522D"/>
    <w:rsid w:val="0017581B"/>
    <w:rsid w:val="00175CF5"/>
    <w:rsid w:val="0017671A"/>
    <w:rsid w:val="00176F88"/>
    <w:rsid w:val="00177422"/>
    <w:rsid w:val="0017742D"/>
    <w:rsid w:val="00180256"/>
    <w:rsid w:val="00180347"/>
    <w:rsid w:val="001808B2"/>
    <w:rsid w:val="00180A0D"/>
    <w:rsid w:val="00180A30"/>
    <w:rsid w:val="00180DBE"/>
    <w:rsid w:val="001810D7"/>
    <w:rsid w:val="00181B54"/>
    <w:rsid w:val="001822FF"/>
    <w:rsid w:val="0018337F"/>
    <w:rsid w:val="00183627"/>
    <w:rsid w:val="0018399D"/>
    <w:rsid w:val="00183B03"/>
    <w:rsid w:val="00183BFA"/>
    <w:rsid w:val="00183E55"/>
    <w:rsid w:val="00184590"/>
    <w:rsid w:val="00184A46"/>
    <w:rsid w:val="00185260"/>
    <w:rsid w:val="00185367"/>
    <w:rsid w:val="00185CD6"/>
    <w:rsid w:val="00185DB6"/>
    <w:rsid w:val="00186247"/>
    <w:rsid w:val="00186A3C"/>
    <w:rsid w:val="00186A5F"/>
    <w:rsid w:val="001870D1"/>
    <w:rsid w:val="0018771F"/>
    <w:rsid w:val="0018781E"/>
    <w:rsid w:val="00187B5D"/>
    <w:rsid w:val="00187DFA"/>
    <w:rsid w:val="001904D6"/>
    <w:rsid w:val="00190649"/>
    <w:rsid w:val="001909C1"/>
    <w:rsid w:val="00190A85"/>
    <w:rsid w:val="00191466"/>
    <w:rsid w:val="00191A33"/>
    <w:rsid w:val="00192088"/>
    <w:rsid w:val="001922DA"/>
    <w:rsid w:val="0019262D"/>
    <w:rsid w:val="001926D9"/>
    <w:rsid w:val="00192BAA"/>
    <w:rsid w:val="00192CD6"/>
    <w:rsid w:val="001931FE"/>
    <w:rsid w:val="00194189"/>
    <w:rsid w:val="00194D08"/>
    <w:rsid w:val="00194E86"/>
    <w:rsid w:val="00195603"/>
    <w:rsid w:val="0019570D"/>
    <w:rsid w:val="00195E65"/>
    <w:rsid w:val="00195EEA"/>
    <w:rsid w:val="00195F01"/>
    <w:rsid w:val="00195FD9"/>
    <w:rsid w:val="00196034"/>
    <w:rsid w:val="001960AA"/>
    <w:rsid w:val="001A047E"/>
    <w:rsid w:val="001A0FCC"/>
    <w:rsid w:val="001A1222"/>
    <w:rsid w:val="001A1B35"/>
    <w:rsid w:val="001A1EB1"/>
    <w:rsid w:val="001A20A9"/>
    <w:rsid w:val="001A2169"/>
    <w:rsid w:val="001A2A9B"/>
    <w:rsid w:val="001A3AAC"/>
    <w:rsid w:val="001A3E48"/>
    <w:rsid w:val="001A4160"/>
    <w:rsid w:val="001A438A"/>
    <w:rsid w:val="001A43DF"/>
    <w:rsid w:val="001A48A2"/>
    <w:rsid w:val="001A51BB"/>
    <w:rsid w:val="001A552E"/>
    <w:rsid w:val="001A58BB"/>
    <w:rsid w:val="001A61C3"/>
    <w:rsid w:val="001A6F61"/>
    <w:rsid w:val="001A71E1"/>
    <w:rsid w:val="001A7557"/>
    <w:rsid w:val="001A7BD0"/>
    <w:rsid w:val="001B00E9"/>
    <w:rsid w:val="001B0992"/>
    <w:rsid w:val="001B12C7"/>
    <w:rsid w:val="001B188B"/>
    <w:rsid w:val="001B1FE7"/>
    <w:rsid w:val="001B2014"/>
    <w:rsid w:val="001B2802"/>
    <w:rsid w:val="001B3283"/>
    <w:rsid w:val="001B3556"/>
    <w:rsid w:val="001B3BDD"/>
    <w:rsid w:val="001B3FE4"/>
    <w:rsid w:val="001B447E"/>
    <w:rsid w:val="001B44BB"/>
    <w:rsid w:val="001B46D6"/>
    <w:rsid w:val="001B4B3B"/>
    <w:rsid w:val="001B4C21"/>
    <w:rsid w:val="001B5A6B"/>
    <w:rsid w:val="001B5F8E"/>
    <w:rsid w:val="001B6C5E"/>
    <w:rsid w:val="001B72B8"/>
    <w:rsid w:val="001B758F"/>
    <w:rsid w:val="001B77FB"/>
    <w:rsid w:val="001B7B14"/>
    <w:rsid w:val="001B7E34"/>
    <w:rsid w:val="001B7F7F"/>
    <w:rsid w:val="001C0514"/>
    <w:rsid w:val="001C0E8E"/>
    <w:rsid w:val="001C10E9"/>
    <w:rsid w:val="001C1AE7"/>
    <w:rsid w:val="001C1BF9"/>
    <w:rsid w:val="001C24CC"/>
    <w:rsid w:val="001C3169"/>
    <w:rsid w:val="001C35BC"/>
    <w:rsid w:val="001C3B2F"/>
    <w:rsid w:val="001C3E01"/>
    <w:rsid w:val="001C42C3"/>
    <w:rsid w:val="001C4B44"/>
    <w:rsid w:val="001C521A"/>
    <w:rsid w:val="001C59BB"/>
    <w:rsid w:val="001C69B3"/>
    <w:rsid w:val="001C77DB"/>
    <w:rsid w:val="001C7C43"/>
    <w:rsid w:val="001D093C"/>
    <w:rsid w:val="001D10F5"/>
    <w:rsid w:val="001D1258"/>
    <w:rsid w:val="001D1A93"/>
    <w:rsid w:val="001D298C"/>
    <w:rsid w:val="001D3FE1"/>
    <w:rsid w:val="001D5595"/>
    <w:rsid w:val="001D586A"/>
    <w:rsid w:val="001D5ABC"/>
    <w:rsid w:val="001D6E99"/>
    <w:rsid w:val="001D7874"/>
    <w:rsid w:val="001D7E5D"/>
    <w:rsid w:val="001D7F22"/>
    <w:rsid w:val="001E024B"/>
    <w:rsid w:val="001E099F"/>
    <w:rsid w:val="001E09F8"/>
    <w:rsid w:val="001E176C"/>
    <w:rsid w:val="001E1854"/>
    <w:rsid w:val="001E21C7"/>
    <w:rsid w:val="001E2770"/>
    <w:rsid w:val="001E2B48"/>
    <w:rsid w:val="001E310A"/>
    <w:rsid w:val="001E34F1"/>
    <w:rsid w:val="001E3F2A"/>
    <w:rsid w:val="001E3F70"/>
    <w:rsid w:val="001E4347"/>
    <w:rsid w:val="001E4B57"/>
    <w:rsid w:val="001E52C9"/>
    <w:rsid w:val="001E5384"/>
    <w:rsid w:val="001E5FCF"/>
    <w:rsid w:val="001E63B0"/>
    <w:rsid w:val="001E798B"/>
    <w:rsid w:val="001E7FB0"/>
    <w:rsid w:val="001F0E21"/>
    <w:rsid w:val="001F0E52"/>
    <w:rsid w:val="001F0F17"/>
    <w:rsid w:val="001F1A0D"/>
    <w:rsid w:val="001F2CC0"/>
    <w:rsid w:val="001F2D87"/>
    <w:rsid w:val="001F3102"/>
    <w:rsid w:val="001F3347"/>
    <w:rsid w:val="001F355E"/>
    <w:rsid w:val="001F373E"/>
    <w:rsid w:val="001F43D5"/>
    <w:rsid w:val="001F489D"/>
    <w:rsid w:val="001F49D1"/>
    <w:rsid w:val="001F5D75"/>
    <w:rsid w:val="001F692E"/>
    <w:rsid w:val="001F69E4"/>
    <w:rsid w:val="001F6A8F"/>
    <w:rsid w:val="001F6B8B"/>
    <w:rsid w:val="001F7D00"/>
    <w:rsid w:val="001F7E64"/>
    <w:rsid w:val="002003D5"/>
    <w:rsid w:val="002016E2"/>
    <w:rsid w:val="002019D0"/>
    <w:rsid w:val="00202389"/>
    <w:rsid w:val="00202611"/>
    <w:rsid w:val="002027C4"/>
    <w:rsid w:val="002029F4"/>
    <w:rsid w:val="00202B7C"/>
    <w:rsid w:val="00202E41"/>
    <w:rsid w:val="002042C0"/>
    <w:rsid w:val="00204D9C"/>
    <w:rsid w:val="0020565F"/>
    <w:rsid w:val="00205808"/>
    <w:rsid w:val="00205B97"/>
    <w:rsid w:val="00206496"/>
    <w:rsid w:val="0020666C"/>
    <w:rsid w:val="00206BBF"/>
    <w:rsid w:val="00206CEA"/>
    <w:rsid w:val="002070EA"/>
    <w:rsid w:val="00207195"/>
    <w:rsid w:val="0020724A"/>
    <w:rsid w:val="00207431"/>
    <w:rsid w:val="00207756"/>
    <w:rsid w:val="0020796D"/>
    <w:rsid w:val="00207F50"/>
    <w:rsid w:val="00210439"/>
    <w:rsid w:val="002108A4"/>
    <w:rsid w:val="00210BCD"/>
    <w:rsid w:val="00210C01"/>
    <w:rsid w:val="002113F9"/>
    <w:rsid w:val="00211E5C"/>
    <w:rsid w:val="002125B4"/>
    <w:rsid w:val="0021264A"/>
    <w:rsid w:val="00212B67"/>
    <w:rsid w:val="00212C14"/>
    <w:rsid w:val="002144CF"/>
    <w:rsid w:val="00214505"/>
    <w:rsid w:val="00214D9B"/>
    <w:rsid w:val="00214EB1"/>
    <w:rsid w:val="002155B8"/>
    <w:rsid w:val="00215C08"/>
    <w:rsid w:val="00215DDF"/>
    <w:rsid w:val="002164A6"/>
    <w:rsid w:val="0021708E"/>
    <w:rsid w:val="0021746A"/>
    <w:rsid w:val="00217661"/>
    <w:rsid w:val="00217E65"/>
    <w:rsid w:val="00220150"/>
    <w:rsid w:val="002201A1"/>
    <w:rsid w:val="002204FE"/>
    <w:rsid w:val="002205C5"/>
    <w:rsid w:val="00220740"/>
    <w:rsid w:val="00220F55"/>
    <w:rsid w:val="00222857"/>
    <w:rsid w:val="00222B8E"/>
    <w:rsid w:val="00223395"/>
    <w:rsid w:val="002235AF"/>
    <w:rsid w:val="00223F8B"/>
    <w:rsid w:val="00223FF5"/>
    <w:rsid w:val="00224839"/>
    <w:rsid w:val="002249B2"/>
    <w:rsid w:val="00224A48"/>
    <w:rsid w:val="00224E6D"/>
    <w:rsid w:val="002259B8"/>
    <w:rsid w:val="00225E96"/>
    <w:rsid w:val="0022647F"/>
    <w:rsid w:val="00226574"/>
    <w:rsid w:val="002268ED"/>
    <w:rsid w:val="002278EC"/>
    <w:rsid w:val="00227E46"/>
    <w:rsid w:val="002308B5"/>
    <w:rsid w:val="002309D3"/>
    <w:rsid w:val="00231259"/>
    <w:rsid w:val="00231698"/>
    <w:rsid w:val="00231DC3"/>
    <w:rsid w:val="0023280E"/>
    <w:rsid w:val="00232B4C"/>
    <w:rsid w:val="00232FE9"/>
    <w:rsid w:val="00233966"/>
    <w:rsid w:val="00233DF5"/>
    <w:rsid w:val="00234382"/>
    <w:rsid w:val="00234A01"/>
    <w:rsid w:val="002354D6"/>
    <w:rsid w:val="0023550A"/>
    <w:rsid w:val="00235D0E"/>
    <w:rsid w:val="00235D82"/>
    <w:rsid w:val="00236034"/>
    <w:rsid w:val="002377A8"/>
    <w:rsid w:val="002377D1"/>
    <w:rsid w:val="00237C51"/>
    <w:rsid w:val="0024014B"/>
    <w:rsid w:val="00241360"/>
    <w:rsid w:val="0024184C"/>
    <w:rsid w:val="00241CFB"/>
    <w:rsid w:val="00242395"/>
    <w:rsid w:val="00242F01"/>
    <w:rsid w:val="00243911"/>
    <w:rsid w:val="00246012"/>
    <w:rsid w:val="00246146"/>
    <w:rsid w:val="0024642F"/>
    <w:rsid w:val="002468FD"/>
    <w:rsid w:val="00246AC8"/>
    <w:rsid w:val="00247541"/>
    <w:rsid w:val="00247C82"/>
    <w:rsid w:val="0025037C"/>
    <w:rsid w:val="002504D5"/>
    <w:rsid w:val="002504F3"/>
    <w:rsid w:val="002506BC"/>
    <w:rsid w:val="00250E5A"/>
    <w:rsid w:val="00251B54"/>
    <w:rsid w:val="00251C58"/>
    <w:rsid w:val="00251CC6"/>
    <w:rsid w:val="00253550"/>
    <w:rsid w:val="00254345"/>
    <w:rsid w:val="00254517"/>
    <w:rsid w:val="00254907"/>
    <w:rsid w:val="002549AF"/>
    <w:rsid w:val="002550D8"/>
    <w:rsid w:val="00257066"/>
    <w:rsid w:val="0025731E"/>
    <w:rsid w:val="00257B27"/>
    <w:rsid w:val="00257C4A"/>
    <w:rsid w:val="00260771"/>
    <w:rsid w:val="00260F08"/>
    <w:rsid w:val="00262638"/>
    <w:rsid w:val="00263763"/>
    <w:rsid w:val="00263779"/>
    <w:rsid w:val="00264557"/>
    <w:rsid w:val="00265276"/>
    <w:rsid w:val="00266196"/>
    <w:rsid w:val="002665D5"/>
    <w:rsid w:val="00266AB5"/>
    <w:rsid w:val="0026717E"/>
    <w:rsid w:val="002671B4"/>
    <w:rsid w:val="00267A38"/>
    <w:rsid w:val="00267CFE"/>
    <w:rsid w:val="0027084F"/>
    <w:rsid w:val="002714DA"/>
    <w:rsid w:val="00271B27"/>
    <w:rsid w:val="00271BC6"/>
    <w:rsid w:val="0027210F"/>
    <w:rsid w:val="00272F34"/>
    <w:rsid w:val="00273003"/>
    <w:rsid w:val="002730F6"/>
    <w:rsid w:val="002737A7"/>
    <w:rsid w:val="00274091"/>
    <w:rsid w:val="002740A1"/>
    <w:rsid w:val="00275416"/>
    <w:rsid w:val="00275760"/>
    <w:rsid w:val="002757B3"/>
    <w:rsid w:val="00275C35"/>
    <w:rsid w:val="00275CAF"/>
    <w:rsid w:val="00276A17"/>
    <w:rsid w:val="00276B41"/>
    <w:rsid w:val="0027701F"/>
    <w:rsid w:val="0027717F"/>
    <w:rsid w:val="00277825"/>
    <w:rsid w:val="00277984"/>
    <w:rsid w:val="002779DE"/>
    <w:rsid w:val="002803FB"/>
    <w:rsid w:val="002804D7"/>
    <w:rsid w:val="002805AB"/>
    <w:rsid w:val="00280AB8"/>
    <w:rsid w:val="00280B04"/>
    <w:rsid w:val="00280F09"/>
    <w:rsid w:val="00281200"/>
    <w:rsid w:val="002815B4"/>
    <w:rsid w:val="00282213"/>
    <w:rsid w:val="00282372"/>
    <w:rsid w:val="00282E94"/>
    <w:rsid w:val="002833CE"/>
    <w:rsid w:val="00283462"/>
    <w:rsid w:val="0028353C"/>
    <w:rsid w:val="00283930"/>
    <w:rsid w:val="00283E20"/>
    <w:rsid w:val="00284204"/>
    <w:rsid w:val="002848CD"/>
    <w:rsid w:val="00285681"/>
    <w:rsid w:val="00286274"/>
    <w:rsid w:val="00286B0E"/>
    <w:rsid w:val="00287FE1"/>
    <w:rsid w:val="0029025A"/>
    <w:rsid w:val="002907B3"/>
    <w:rsid w:val="00291773"/>
    <w:rsid w:val="00291D9B"/>
    <w:rsid w:val="00293818"/>
    <w:rsid w:val="00293AA2"/>
    <w:rsid w:val="002942D6"/>
    <w:rsid w:val="002943C1"/>
    <w:rsid w:val="00294DEF"/>
    <w:rsid w:val="002951F8"/>
    <w:rsid w:val="0029541F"/>
    <w:rsid w:val="00296124"/>
    <w:rsid w:val="00296A96"/>
    <w:rsid w:val="00296B5D"/>
    <w:rsid w:val="00297016"/>
    <w:rsid w:val="00297391"/>
    <w:rsid w:val="00297760"/>
    <w:rsid w:val="00297B0D"/>
    <w:rsid w:val="00297BC1"/>
    <w:rsid w:val="00297BDB"/>
    <w:rsid w:val="00297CE8"/>
    <w:rsid w:val="002A1422"/>
    <w:rsid w:val="002A168C"/>
    <w:rsid w:val="002A18F1"/>
    <w:rsid w:val="002A22A7"/>
    <w:rsid w:val="002A2F02"/>
    <w:rsid w:val="002A3B4B"/>
    <w:rsid w:val="002A3BF4"/>
    <w:rsid w:val="002A3DC7"/>
    <w:rsid w:val="002A3FFF"/>
    <w:rsid w:val="002A459A"/>
    <w:rsid w:val="002A4ACD"/>
    <w:rsid w:val="002A5224"/>
    <w:rsid w:val="002A5E9F"/>
    <w:rsid w:val="002A6705"/>
    <w:rsid w:val="002A68EF"/>
    <w:rsid w:val="002A7252"/>
    <w:rsid w:val="002A7974"/>
    <w:rsid w:val="002B04F1"/>
    <w:rsid w:val="002B10CC"/>
    <w:rsid w:val="002B1151"/>
    <w:rsid w:val="002B197D"/>
    <w:rsid w:val="002B1A3D"/>
    <w:rsid w:val="002B1C18"/>
    <w:rsid w:val="002B2A56"/>
    <w:rsid w:val="002B4014"/>
    <w:rsid w:val="002B49E2"/>
    <w:rsid w:val="002B585A"/>
    <w:rsid w:val="002B58F7"/>
    <w:rsid w:val="002B5C53"/>
    <w:rsid w:val="002B5D41"/>
    <w:rsid w:val="002B6015"/>
    <w:rsid w:val="002B6E6B"/>
    <w:rsid w:val="002B7747"/>
    <w:rsid w:val="002B7B00"/>
    <w:rsid w:val="002B7C2B"/>
    <w:rsid w:val="002B7C44"/>
    <w:rsid w:val="002B7E95"/>
    <w:rsid w:val="002C0380"/>
    <w:rsid w:val="002C04A3"/>
    <w:rsid w:val="002C04C0"/>
    <w:rsid w:val="002C0713"/>
    <w:rsid w:val="002C07F3"/>
    <w:rsid w:val="002C09EE"/>
    <w:rsid w:val="002C0C07"/>
    <w:rsid w:val="002C12A6"/>
    <w:rsid w:val="002C14BD"/>
    <w:rsid w:val="002C1510"/>
    <w:rsid w:val="002C2B17"/>
    <w:rsid w:val="002C2D92"/>
    <w:rsid w:val="002C30F2"/>
    <w:rsid w:val="002C412A"/>
    <w:rsid w:val="002C4B10"/>
    <w:rsid w:val="002C4C59"/>
    <w:rsid w:val="002C4DE0"/>
    <w:rsid w:val="002C501E"/>
    <w:rsid w:val="002C5F11"/>
    <w:rsid w:val="002C6155"/>
    <w:rsid w:val="002C66AE"/>
    <w:rsid w:val="002C708E"/>
    <w:rsid w:val="002C7191"/>
    <w:rsid w:val="002C7311"/>
    <w:rsid w:val="002C75DF"/>
    <w:rsid w:val="002C75EA"/>
    <w:rsid w:val="002D022B"/>
    <w:rsid w:val="002D122F"/>
    <w:rsid w:val="002D1244"/>
    <w:rsid w:val="002D12AE"/>
    <w:rsid w:val="002D16B8"/>
    <w:rsid w:val="002D1F0E"/>
    <w:rsid w:val="002D2144"/>
    <w:rsid w:val="002D25B8"/>
    <w:rsid w:val="002D2813"/>
    <w:rsid w:val="002D2BA0"/>
    <w:rsid w:val="002D2E4B"/>
    <w:rsid w:val="002D30EE"/>
    <w:rsid w:val="002D330F"/>
    <w:rsid w:val="002D3379"/>
    <w:rsid w:val="002D3604"/>
    <w:rsid w:val="002D3861"/>
    <w:rsid w:val="002D3DD0"/>
    <w:rsid w:val="002D3E9E"/>
    <w:rsid w:val="002D45C4"/>
    <w:rsid w:val="002D4B04"/>
    <w:rsid w:val="002D4C2C"/>
    <w:rsid w:val="002D531B"/>
    <w:rsid w:val="002D6205"/>
    <w:rsid w:val="002D6442"/>
    <w:rsid w:val="002D6878"/>
    <w:rsid w:val="002D6D5A"/>
    <w:rsid w:val="002D6F5F"/>
    <w:rsid w:val="002D74BF"/>
    <w:rsid w:val="002D7AB2"/>
    <w:rsid w:val="002D7C5A"/>
    <w:rsid w:val="002D7E80"/>
    <w:rsid w:val="002D7FF4"/>
    <w:rsid w:val="002E0E0A"/>
    <w:rsid w:val="002E181F"/>
    <w:rsid w:val="002E1CC5"/>
    <w:rsid w:val="002E1F3A"/>
    <w:rsid w:val="002E250C"/>
    <w:rsid w:val="002E298A"/>
    <w:rsid w:val="002E29C8"/>
    <w:rsid w:val="002E2CFE"/>
    <w:rsid w:val="002E2D47"/>
    <w:rsid w:val="002E4634"/>
    <w:rsid w:val="002E4818"/>
    <w:rsid w:val="002E5051"/>
    <w:rsid w:val="002E5411"/>
    <w:rsid w:val="002E58E3"/>
    <w:rsid w:val="002E5E1E"/>
    <w:rsid w:val="002E6427"/>
    <w:rsid w:val="002E6BB2"/>
    <w:rsid w:val="002E734A"/>
    <w:rsid w:val="002E7736"/>
    <w:rsid w:val="002E7A62"/>
    <w:rsid w:val="002E7B1D"/>
    <w:rsid w:val="002F012E"/>
    <w:rsid w:val="002F0936"/>
    <w:rsid w:val="002F0F36"/>
    <w:rsid w:val="002F1DB8"/>
    <w:rsid w:val="002F2EBA"/>
    <w:rsid w:val="002F2F3B"/>
    <w:rsid w:val="002F31AB"/>
    <w:rsid w:val="002F356A"/>
    <w:rsid w:val="002F3B5D"/>
    <w:rsid w:val="002F3D74"/>
    <w:rsid w:val="002F4004"/>
    <w:rsid w:val="002F452C"/>
    <w:rsid w:val="002F4694"/>
    <w:rsid w:val="002F478E"/>
    <w:rsid w:val="002F52AD"/>
    <w:rsid w:val="002F5694"/>
    <w:rsid w:val="002F58AB"/>
    <w:rsid w:val="002F6232"/>
    <w:rsid w:val="002F6834"/>
    <w:rsid w:val="002F6F33"/>
    <w:rsid w:val="002F7565"/>
    <w:rsid w:val="002F77AA"/>
    <w:rsid w:val="00300304"/>
    <w:rsid w:val="003009C0"/>
    <w:rsid w:val="0030118C"/>
    <w:rsid w:val="00301978"/>
    <w:rsid w:val="00301B8F"/>
    <w:rsid w:val="00302848"/>
    <w:rsid w:val="0030332C"/>
    <w:rsid w:val="0030334C"/>
    <w:rsid w:val="00303761"/>
    <w:rsid w:val="0030398D"/>
    <w:rsid w:val="00303EA1"/>
    <w:rsid w:val="0030429B"/>
    <w:rsid w:val="0030444B"/>
    <w:rsid w:val="00304DF5"/>
    <w:rsid w:val="00304FC5"/>
    <w:rsid w:val="003051C2"/>
    <w:rsid w:val="00305DBF"/>
    <w:rsid w:val="00306827"/>
    <w:rsid w:val="00306A5D"/>
    <w:rsid w:val="00307311"/>
    <w:rsid w:val="00307A45"/>
    <w:rsid w:val="00307D8C"/>
    <w:rsid w:val="00310443"/>
    <w:rsid w:val="00310786"/>
    <w:rsid w:val="003109E2"/>
    <w:rsid w:val="00310ABD"/>
    <w:rsid w:val="00311B70"/>
    <w:rsid w:val="00311F56"/>
    <w:rsid w:val="00312296"/>
    <w:rsid w:val="003126C7"/>
    <w:rsid w:val="00312CA2"/>
    <w:rsid w:val="00313399"/>
    <w:rsid w:val="00313494"/>
    <w:rsid w:val="00314F0E"/>
    <w:rsid w:val="00314FD9"/>
    <w:rsid w:val="00315586"/>
    <w:rsid w:val="003162C6"/>
    <w:rsid w:val="00317188"/>
    <w:rsid w:val="00317677"/>
    <w:rsid w:val="00317940"/>
    <w:rsid w:val="00317BC0"/>
    <w:rsid w:val="00317D70"/>
    <w:rsid w:val="003202B4"/>
    <w:rsid w:val="003202D1"/>
    <w:rsid w:val="0032053B"/>
    <w:rsid w:val="00320825"/>
    <w:rsid w:val="00320E7A"/>
    <w:rsid w:val="00320E95"/>
    <w:rsid w:val="00321122"/>
    <w:rsid w:val="00321D8E"/>
    <w:rsid w:val="00322FA0"/>
    <w:rsid w:val="00323EAC"/>
    <w:rsid w:val="00324D00"/>
    <w:rsid w:val="00324D93"/>
    <w:rsid w:val="00324D99"/>
    <w:rsid w:val="00325928"/>
    <w:rsid w:val="0032599A"/>
    <w:rsid w:val="00325D23"/>
    <w:rsid w:val="0032638D"/>
    <w:rsid w:val="003267A0"/>
    <w:rsid w:val="0032695C"/>
    <w:rsid w:val="00326E7B"/>
    <w:rsid w:val="00327937"/>
    <w:rsid w:val="00327E5B"/>
    <w:rsid w:val="00331936"/>
    <w:rsid w:val="00331D40"/>
    <w:rsid w:val="00331F29"/>
    <w:rsid w:val="00332863"/>
    <w:rsid w:val="00333EDB"/>
    <w:rsid w:val="00334C68"/>
    <w:rsid w:val="003351F5"/>
    <w:rsid w:val="0033609F"/>
    <w:rsid w:val="0033611D"/>
    <w:rsid w:val="00336297"/>
    <w:rsid w:val="0033643E"/>
    <w:rsid w:val="003364E2"/>
    <w:rsid w:val="0033684D"/>
    <w:rsid w:val="0033686F"/>
    <w:rsid w:val="00336B95"/>
    <w:rsid w:val="003375DF"/>
    <w:rsid w:val="00337B42"/>
    <w:rsid w:val="003407DD"/>
    <w:rsid w:val="00340BF0"/>
    <w:rsid w:val="00341B42"/>
    <w:rsid w:val="00341BD7"/>
    <w:rsid w:val="00342487"/>
    <w:rsid w:val="0034304A"/>
    <w:rsid w:val="0034348F"/>
    <w:rsid w:val="00344292"/>
    <w:rsid w:val="00344F42"/>
    <w:rsid w:val="00344F9C"/>
    <w:rsid w:val="0034547E"/>
    <w:rsid w:val="0034605E"/>
    <w:rsid w:val="00346672"/>
    <w:rsid w:val="00346A37"/>
    <w:rsid w:val="00346BCA"/>
    <w:rsid w:val="00347721"/>
    <w:rsid w:val="00347FA3"/>
    <w:rsid w:val="0035014D"/>
    <w:rsid w:val="0035030F"/>
    <w:rsid w:val="0035129C"/>
    <w:rsid w:val="0035175D"/>
    <w:rsid w:val="003519CA"/>
    <w:rsid w:val="00351C04"/>
    <w:rsid w:val="00351DFD"/>
    <w:rsid w:val="00352880"/>
    <w:rsid w:val="003539DB"/>
    <w:rsid w:val="003545B2"/>
    <w:rsid w:val="00354AED"/>
    <w:rsid w:val="00354E51"/>
    <w:rsid w:val="00354F9F"/>
    <w:rsid w:val="00355121"/>
    <w:rsid w:val="003551E4"/>
    <w:rsid w:val="0035585E"/>
    <w:rsid w:val="00355A84"/>
    <w:rsid w:val="00355E0A"/>
    <w:rsid w:val="00356352"/>
    <w:rsid w:val="00356653"/>
    <w:rsid w:val="00356994"/>
    <w:rsid w:val="00357188"/>
    <w:rsid w:val="0035734E"/>
    <w:rsid w:val="0035743F"/>
    <w:rsid w:val="00357BE2"/>
    <w:rsid w:val="003608FC"/>
    <w:rsid w:val="00361297"/>
    <w:rsid w:val="0036143E"/>
    <w:rsid w:val="003614CB"/>
    <w:rsid w:val="0036170C"/>
    <w:rsid w:val="00361D0A"/>
    <w:rsid w:val="00362544"/>
    <w:rsid w:val="00362E7A"/>
    <w:rsid w:val="00363011"/>
    <w:rsid w:val="00363291"/>
    <w:rsid w:val="00363545"/>
    <w:rsid w:val="0036431D"/>
    <w:rsid w:val="00365034"/>
    <w:rsid w:val="00365200"/>
    <w:rsid w:val="00365275"/>
    <w:rsid w:val="0036572C"/>
    <w:rsid w:val="00366E0F"/>
    <w:rsid w:val="00367443"/>
    <w:rsid w:val="00367621"/>
    <w:rsid w:val="00367744"/>
    <w:rsid w:val="00367AEC"/>
    <w:rsid w:val="00367CC1"/>
    <w:rsid w:val="00367D3A"/>
    <w:rsid w:val="00367E0D"/>
    <w:rsid w:val="00370026"/>
    <w:rsid w:val="00370556"/>
    <w:rsid w:val="003706EF"/>
    <w:rsid w:val="00370B00"/>
    <w:rsid w:val="00370BA3"/>
    <w:rsid w:val="00370C15"/>
    <w:rsid w:val="00371332"/>
    <w:rsid w:val="00372545"/>
    <w:rsid w:val="003733DA"/>
    <w:rsid w:val="00374292"/>
    <w:rsid w:val="003746E3"/>
    <w:rsid w:val="00374AA3"/>
    <w:rsid w:val="00374BE3"/>
    <w:rsid w:val="00374DB4"/>
    <w:rsid w:val="00374E3F"/>
    <w:rsid w:val="003753AB"/>
    <w:rsid w:val="003755B9"/>
    <w:rsid w:val="00375AE0"/>
    <w:rsid w:val="0037662C"/>
    <w:rsid w:val="003766D6"/>
    <w:rsid w:val="00377669"/>
    <w:rsid w:val="00377C86"/>
    <w:rsid w:val="00380076"/>
    <w:rsid w:val="0038011B"/>
    <w:rsid w:val="003801CD"/>
    <w:rsid w:val="003801DF"/>
    <w:rsid w:val="003804E4"/>
    <w:rsid w:val="00380537"/>
    <w:rsid w:val="003805F2"/>
    <w:rsid w:val="00380CE4"/>
    <w:rsid w:val="00380FE9"/>
    <w:rsid w:val="00381A72"/>
    <w:rsid w:val="00381EF3"/>
    <w:rsid w:val="00382E8A"/>
    <w:rsid w:val="00382EC6"/>
    <w:rsid w:val="0038380F"/>
    <w:rsid w:val="0038392A"/>
    <w:rsid w:val="00384676"/>
    <w:rsid w:val="00385BEA"/>
    <w:rsid w:val="00385DA8"/>
    <w:rsid w:val="00386BB7"/>
    <w:rsid w:val="0038738B"/>
    <w:rsid w:val="00387481"/>
    <w:rsid w:val="003878C9"/>
    <w:rsid w:val="003879EA"/>
    <w:rsid w:val="00387A40"/>
    <w:rsid w:val="00390857"/>
    <w:rsid w:val="00391519"/>
    <w:rsid w:val="00392216"/>
    <w:rsid w:val="00392419"/>
    <w:rsid w:val="003929BD"/>
    <w:rsid w:val="00393A60"/>
    <w:rsid w:val="00393A71"/>
    <w:rsid w:val="00393DAC"/>
    <w:rsid w:val="00394171"/>
    <w:rsid w:val="0039417B"/>
    <w:rsid w:val="00394491"/>
    <w:rsid w:val="0039449F"/>
    <w:rsid w:val="003944E5"/>
    <w:rsid w:val="00394688"/>
    <w:rsid w:val="00395C7B"/>
    <w:rsid w:val="003967CE"/>
    <w:rsid w:val="00397ACE"/>
    <w:rsid w:val="00397B35"/>
    <w:rsid w:val="00397CFF"/>
    <w:rsid w:val="00397D6D"/>
    <w:rsid w:val="00397F44"/>
    <w:rsid w:val="003A092E"/>
    <w:rsid w:val="003A1072"/>
    <w:rsid w:val="003A1115"/>
    <w:rsid w:val="003A13A1"/>
    <w:rsid w:val="003A14E4"/>
    <w:rsid w:val="003A1560"/>
    <w:rsid w:val="003A1609"/>
    <w:rsid w:val="003A1A59"/>
    <w:rsid w:val="003A32EA"/>
    <w:rsid w:val="003A33B5"/>
    <w:rsid w:val="003A3636"/>
    <w:rsid w:val="003A4722"/>
    <w:rsid w:val="003A4807"/>
    <w:rsid w:val="003A48E4"/>
    <w:rsid w:val="003A4B77"/>
    <w:rsid w:val="003A4BF3"/>
    <w:rsid w:val="003A4CD5"/>
    <w:rsid w:val="003A5706"/>
    <w:rsid w:val="003A5B53"/>
    <w:rsid w:val="003A5BC6"/>
    <w:rsid w:val="003A6559"/>
    <w:rsid w:val="003A6909"/>
    <w:rsid w:val="003A6C1C"/>
    <w:rsid w:val="003A7099"/>
    <w:rsid w:val="003A740E"/>
    <w:rsid w:val="003B0108"/>
    <w:rsid w:val="003B0A22"/>
    <w:rsid w:val="003B0A6B"/>
    <w:rsid w:val="003B0EC6"/>
    <w:rsid w:val="003B10F9"/>
    <w:rsid w:val="003B20E3"/>
    <w:rsid w:val="003B269A"/>
    <w:rsid w:val="003B2B2A"/>
    <w:rsid w:val="003B3DBC"/>
    <w:rsid w:val="003B4165"/>
    <w:rsid w:val="003B420D"/>
    <w:rsid w:val="003B430A"/>
    <w:rsid w:val="003B45FF"/>
    <w:rsid w:val="003B496B"/>
    <w:rsid w:val="003B51AF"/>
    <w:rsid w:val="003B5571"/>
    <w:rsid w:val="003B5687"/>
    <w:rsid w:val="003B5FD8"/>
    <w:rsid w:val="003B6191"/>
    <w:rsid w:val="003B62BB"/>
    <w:rsid w:val="003B67E3"/>
    <w:rsid w:val="003B684B"/>
    <w:rsid w:val="003B69D9"/>
    <w:rsid w:val="003B7185"/>
    <w:rsid w:val="003B78F6"/>
    <w:rsid w:val="003C070D"/>
    <w:rsid w:val="003C119A"/>
    <w:rsid w:val="003C11A0"/>
    <w:rsid w:val="003C12ED"/>
    <w:rsid w:val="003C1700"/>
    <w:rsid w:val="003C238F"/>
    <w:rsid w:val="003C2A97"/>
    <w:rsid w:val="003C3769"/>
    <w:rsid w:val="003C404A"/>
    <w:rsid w:val="003C4430"/>
    <w:rsid w:val="003C4678"/>
    <w:rsid w:val="003C467B"/>
    <w:rsid w:val="003C46BC"/>
    <w:rsid w:val="003C4724"/>
    <w:rsid w:val="003C541A"/>
    <w:rsid w:val="003C559A"/>
    <w:rsid w:val="003C5E61"/>
    <w:rsid w:val="003C67FE"/>
    <w:rsid w:val="003C6C16"/>
    <w:rsid w:val="003C6CE8"/>
    <w:rsid w:val="003C7056"/>
    <w:rsid w:val="003C749E"/>
    <w:rsid w:val="003C789E"/>
    <w:rsid w:val="003C798F"/>
    <w:rsid w:val="003C7C70"/>
    <w:rsid w:val="003D0877"/>
    <w:rsid w:val="003D0F0C"/>
    <w:rsid w:val="003D2730"/>
    <w:rsid w:val="003D2746"/>
    <w:rsid w:val="003D2DA3"/>
    <w:rsid w:val="003D391E"/>
    <w:rsid w:val="003D3BF6"/>
    <w:rsid w:val="003D3F12"/>
    <w:rsid w:val="003D43C7"/>
    <w:rsid w:val="003D5DDC"/>
    <w:rsid w:val="003D62FF"/>
    <w:rsid w:val="003D65EA"/>
    <w:rsid w:val="003D6A85"/>
    <w:rsid w:val="003D6D1E"/>
    <w:rsid w:val="003D77F9"/>
    <w:rsid w:val="003D794D"/>
    <w:rsid w:val="003D7AEE"/>
    <w:rsid w:val="003D7C8C"/>
    <w:rsid w:val="003D7CB6"/>
    <w:rsid w:val="003D7CBA"/>
    <w:rsid w:val="003E01BB"/>
    <w:rsid w:val="003E080B"/>
    <w:rsid w:val="003E0F03"/>
    <w:rsid w:val="003E137B"/>
    <w:rsid w:val="003E1A91"/>
    <w:rsid w:val="003E23B3"/>
    <w:rsid w:val="003E2557"/>
    <w:rsid w:val="003E2C65"/>
    <w:rsid w:val="003E3058"/>
    <w:rsid w:val="003E3A82"/>
    <w:rsid w:val="003E4916"/>
    <w:rsid w:val="003E4A80"/>
    <w:rsid w:val="003E4C09"/>
    <w:rsid w:val="003E5050"/>
    <w:rsid w:val="003E51DA"/>
    <w:rsid w:val="003E53A2"/>
    <w:rsid w:val="003E59A5"/>
    <w:rsid w:val="003E5A81"/>
    <w:rsid w:val="003E5AF5"/>
    <w:rsid w:val="003E620E"/>
    <w:rsid w:val="003E677A"/>
    <w:rsid w:val="003E67BB"/>
    <w:rsid w:val="003E6DEA"/>
    <w:rsid w:val="003E71A3"/>
    <w:rsid w:val="003E748C"/>
    <w:rsid w:val="003E76A9"/>
    <w:rsid w:val="003E7836"/>
    <w:rsid w:val="003E7852"/>
    <w:rsid w:val="003F0224"/>
    <w:rsid w:val="003F029E"/>
    <w:rsid w:val="003F0691"/>
    <w:rsid w:val="003F0809"/>
    <w:rsid w:val="003F08B3"/>
    <w:rsid w:val="003F0DF0"/>
    <w:rsid w:val="003F1E01"/>
    <w:rsid w:val="003F2B74"/>
    <w:rsid w:val="003F2F55"/>
    <w:rsid w:val="003F35D8"/>
    <w:rsid w:val="003F3A63"/>
    <w:rsid w:val="003F3AE7"/>
    <w:rsid w:val="003F3E6E"/>
    <w:rsid w:val="003F4335"/>
    <w:rsid w:val="003F47E9"/>
    <w:rsid w:val="003F6261"/>
    <w:rsid w:val="003F6A8C"/>
    <w:rsid w:val="003F6AF7"/>
    <w:rsid w:val="003F6B83"/>
    <w:rsid w:val="003F6F97"/>
    <w:rsid w:val="003F755C"/>
    <w:rsid w:val="003F7906"/>
    <w:rsid w:val="004012EB"/>
    <w:rsid w:val="004015DC"/>
    <w:rsid w:val="00401C33"/>
    <w:rsid w:val="00401CAB"/>
    <w:rsid w:val="00401FE5"/>
    <w:rsid w:val="004031BF"/>
    <w:rsid w:val="00403215"/>
    <w:rsid w:val="0040345D"/>
    <w:rsid w:val="00403D84"/>
    <w:rsid w:val="00403E2A"/>
    <w:rsid w:val="00404BC8"/>
    <w:rsid w:val="00405441"/>
    <w:rsid w:val="00405B4D"/>
    <w:rsid w:val="00405D59"/>
    <w:rsid w:val="00406039"/>
    <w:rsid w:val="00406AE9"/>
    <w:rsid w:val="00406F01"/>
    <w:rsid w:val="00407A63"/>
    <w:rsid w:val="004101FF"/>
    <w:rsid w:val="004103F0"/>
    <w:rsid w:val="004104F7"/>
    <w:rsid w:val="00410899"/>
    <w:rsid w:val="00411786"/>
    <w:rsid w:val="004122CF"/>
    <w:rsid w:val="004122E9"/>
    <w:rsid w:val="00412487"/>
    <w:rsid w:val="0041279E"/>
    <w:rsid w:val="004134CA"/>
    <w:rsid w:val="004138DC"/>
    <w:rsid w:val="00414103"/>
    <w:rsid w:val="00414298"/>
    <w:rsid w:val="004147D6"/>
    <w:rsid w:val="00414913"/>
    <w:rsid w:val="004149B8"/>
    <w:rsid w:val="00414FAD"/>
    <w:rsid w:val="0041590F"/>
    <w:rsid w:val="00415AE3"/>
    <w:rsid w:val="00415B85"/>
    <w:rsid w:val="00416D50"/>
    <w:rsid w:val="00416FD5"/>
    <w:rsid w:val="00417772"/>
    <w:rsid w:val="0042010C"/>
    <w:rsid w:val="00420589"/>
    <w:rsid w:val="00420AFF"/>
    <w:rsid w:val="00420B6C"/>
    <w:rsid w:val="00420E6A"/>
    <w:rsid w:val="00421B02"/>
    <w:rsid w:val="00421D41"/>
    <w:rsid w:val="00422E69"/>
    <w:rsid w:val="00424567"/>
    <w:rsid w:val="00424E16"/>
    <w:rsid w:val="00425505"/>
    <w:rsid w:val="00425A9E"/>
    <w:rsid w:val="00426BE5"/>
    <w:rsid w:val="00426D6B"/>
    <w:rsid w:val="00426D94"/>
    <w:rsid w:val="004272CF"/>
    <w:rsid w:val="0042737C"/>
    <w:rsid w:val="00427FA4"/>
    <w:rsid w:val="00430708"/>
    <w:rsid w:val="004311E3"/>
    <w:rsid w:val="004314AE"/>
    <w:rsid w:val="00431E6C"/>
    <w:rsid w:val="0043227A"/>
    <w:rsid w:val="0043254B"/>
    <w:rsid w:val="004326B4"/>
    <w:rsid w:val="00432B5C"/>
    <w:rsid w:val="00433504"/>
    <w:rsid w:val="004337FC"/>
    <w:rsid w:val="00433983"/>
    <w:rsid w:val="00433CE7"/>
    <w:rsid w:val="00434246"/>
    <w:rsid w:val="00434722"/>
    <w:rsid w:val="00434F61"/>
    <w:rsid w:val="0043578F"/>
    <w:rsid w:val="00435E81"/>
    <w:rsid w:val="00436237"/>
    <w:rsid w:val="00436316"/>
    <w:rsid w:val="0043701D"/>
    <w:rsid w:val="0043786F"/>
    <w:rsid w:val="00437A90"/>
    <w:rsid w:val="00437F9D"/>
    <w:rsid w:val="004403AC"/>
    <w:rsid w:val="0044079A"/>
    <w:rsid w:val="004408A0"/>
    <w:rsid w:val="00441911"/>
    <w:rsid w:val="00441D80"/>
    <w:rsid w:val="00443007"/>
    <w:rsid w:val="0044471C"/>
    <w:rsid w:val="004450DA"/>
    <w:rsid w:val="00445448"/>
    <w:rsid w:val="0044628A"/>
    <w:rsid w:val="00446812"/>
    <w:rsid w:val="00446BA7"/>
    <w:rsid w:val="00446D41"/>
    <w:rsid w:val="00447316"/>
    <w:rsid w:val="004478B2"/>
    <w:rsid w:val="00450166"/>
    <w:rsid w:val="0045057E"/>
    <w:rsid w:val="004506ED"/>
    <w:rsid w:val="00450C02"/>
    <w:rsid w:val="004511FD"/>
    <w:rsid w:val="0045154C"/>
    <w:rsid w:val="004520F1"/>
    <w:rsid w:val="0045271A"/>
    <w:rsid w:val="0045271B"/>
    <w:rsid w:val="00452738"/>
    <w:rsid w:val="00452ED4"/>
    <w:rsid w:val="00452FCE"/>
    <w:rsid w:val="00453914"/>
    <w:rsid w:val="0045472B"/>
    <w:rsid w:val="00454918"/>
    <w:rsid w:val="00454EE3"/>
    <w:rsid w:val="004554DC"/>
    <w:rsid w:val="00455746"/>
    <w:rsid w:val="00456091"/>
    <w:rsid w:val="00457192"/>
    <w:rsid w:val="004574D1"/>
    <w:rsid w:val="004576B3"/>
    <w:rsid w:val="00457CDB"/>
    <w:rsid w:val="0046038E"/>
    <w:rsid w:val="004608C4"/>
    <w:rsid w:val="004611EF"/>
    <w:rsid w:val="00461ADC"/>
    <w:rsid w:val="00461C9B"/>
    <w:rsid w:val="00461CDC"/>
    <w:rsid w:val="00461DE2"/>
    <w:rsid w:val="0046324D"/>
    <w:rsid w:val="00463A1E"/>
    <w:rsid w:val="0046442F"/>
    <w:rsid w:val="00464A91"/>
    <w:rsid w:val="00465314"/>
    <w:rsid w:val="00466321"/>
    <w:rsid w:val="0046644E"/>
    <w:rsid w:val="004667D5"/>
    <w:rsid w:val="0046683B"/>
    <w:rsid w:val="004668AB"/>
    <w:rsid w:val="00466946"/>
    <w:rsid w:val="00467040"/>
    <w:rsid w:val="004671CC"/>
    <w:rsid w:val="004678BB"/>
    <w:rsid w:val="00467944"/>
    <w:rsid w:val="00467A01"/>
    <w:rsid w:val="00467B34"/>
    <w:rsid w:val="00467D10"/>
    <w:rsid w:val="00467D8D"/>
    <w:rsid w:val="00467EBA"/>
    <w:rsid w:val="00470366"/>
    <w:rsid w:val="00470786"/>
    <w:rsid w:val="004707F4"/>
    <w:rsid w:val="0047095B"/>
    <w:rsid w:val="00470F69"/>
    <w:rsid w:val="00471177"/>
    <w:rsid w:val="00471197"/>
    <w:rsid w:val="00471666"/>
    <w:rsid w:val="00471985"/>
    <w:rsid w:val="00472049"/>
    <w:rsid w:val="004723D1"/>
    <w:rsid w:val="00472915"/>
    <w:rsid w:val="00472F88"/>
    <w:rsid w:val="00473A1A"/>
    <w:rsid w:val="00474469"/>
    <w:rsid w:val="004745DA"/>
    <w:rsid w:val="00474C0E"/>
    <w:rsid w:val="00475163"/>
    <w:rsid w:val="00475C08"/>
    <w:rsid w:val="00475F47"/>
    <w:rsid w:val="00476631"/>
    <w:rsid w:val="00476A0A"/>
    <w:rsid w:val="00476BE8"/>
    <w:rsid w:val="00476CC3"/>
    <w:rsid w:val="00477398"/>
    <w:rsid w:val="0047744E"/>
    <w:rsid w:val="004774D4"/>
    <w:rsid w:val="00477746"/>
    <w:rsid w:val="00477AC9"/>
    <w:rsid w:val="0048033F"/>
    <w:rsid w:val="00480D9D"/>
    <w:rsid w:val="00480E0A"/>
    <w:rsid w:val="00481252"/>
    <w:rsid w:val="00481A4F"/>
    <w:rsid w:val="00482129"/>
    <w:rsid w:val="004822F0"/>
    <w:rsid w:val="004830D2"/>
    <w:rsid w:val="00483D63"/>
    <w:rsid w:val="0048441E"/>
    <w:rsid w:val="00484587"/>
    <w:rsid w:val="00484B9B"/>
    <w:rsid w:val="004855F6"/>
    <w:rsid w:val="00485A56"/>
    <w:rsid w:val="0048661E"/>
    <w:rsid w:val="00487A66"/>
    <w:rsid w:val="00487BAB"/>
    <w:rsid w:val="00487C39"/>
    <w:rsid w:val="00487E6C"/>
    <w:rsid w:val="004907B3"/>
    <w:rsid w:val="004907D8"/>
    <w:rsid w:val="004909D1"/>
    <w:rsid w:val="00490AD9"/>
    <w:rsid w:val="004912D7"/>
    <w:rsid w:val="004922CC"/>
    <w:rsid w:val="004922EF"/>
    <w:rsid w:val="0049235D"/>
    <w:rsid w:val="004923BE"/>
    <w:rsid w:val="004929B1"/>
    <w:rsid w:val="00492E97"/>
    <w:rsid w:val="0049365E"/>
    <w:rsid w:val="004945D1"/>
    <w:rsid w:val="00494658"/>
    <w:rsid w:val="00494670"/>
    <w:rsid w:val="004959F3"/>
    <w:rsid w:val="00495A3D"/>
    <w:rsid w:val="00495CB4"/>
    <w:rsid w:val="00495FB7"/>
    <w:rsid w:val="004969FE"/>
    <w:rsid w:val="00496B2D"/>
    <w:rsid w:val="0049793F"/>
    <w:rsid w:val="00497B8E"/>
    <w:rsid w:val="004A00C0"/>
    <w:rsid w:val="004A12E8"/>
    <w:rsid w:val="004A16D1"/>
    <w:rsid w:val="004A1784"/>
    <w:rsid w:val="004A1DE0"/>
    <w:rsid w:val="004A2495"/>
    <w:rsid w:val="004A258D"/>
    <w:rsid w:val="004A26DE"/>
    <w:rsid w:val="004A2AB4"/>
    <w:rsid w:val="004A2C07"/>
    <w:rsid w:val="004A30BB"/>
    <w:rsid w:val="004A3439"/>
    <w:rsid w:val="004A3823"/>
    <w:rsid w:val="004A403A"/>
    <w:rsid w:val="004A48C9"/>
    <w:rsid w:val="004A4CDC"/>
    <w:rsid w:val="004A4FC0"/>
    <w:rsid w:val="004A51AD"/>
    <w:rsid w:val="004A5CF5"/>
    <w:rsid w:val="004A6126"/>
    <w:rsid w:val="004A62FF"/>
    <w:rsid w:val="004A66E5"/>
    <w:rsid w:val="004A681E"/>
    <w:rsid w:val="004B1897"/>
    <w:rsid w:val="004B18F5"/>
    <w:rsid w:val="004B2906"/>
    <w:rsid w:val="004B297A"/>
    <w:rsid w:val="004B300E"/>
    <w:rsid w:val="004B3042"/>
    <w:rsid w:val="004B30CA"/>
    <w:rsid w:val="004B35AF"/>
    <w:rsid w:val="004B39F8"/>
    <w:rsid w:val="004B41B6"/>
    <w:rsid w:val="004B44AE"/>
    <w:rsid w:val="004B46DA"/>
    <w:rsid w:val="004B48E4"/>
    <w:rsid w:val="004B5355"/>
    <w:rsid w:val="004B5ACD"/>
    <w:rsid w:val="004B5F80"/>
    <w:rsid w:val="004B60C2"/>
    <w:rsid w:val="004B60D7"/>
    <w:rsid w:val="004B6476"/>
    <w:rsid w:val="004B6BCB"/>
    <w:rsid w:val="004B6BFE"/>
    <w:rsid w:val="004B70F3"/>
    <w:rsid w:val="004B722A"/>
    <w:rsid w:val="004C0590"/>
    <w:rsid w:val="004C08C4"/>
    <w:rsid w:val="004C093B"/>
    <w:rsid w:val="004C0971"/>
    <w:rsid w:val="004C19B8"/>
    <w:rsid w:val="004C1AE0"/>
    <w:rsid w:val="004C2A8B"/>
    <w:rsid w:val="004C2C03"/>
    <w:rsid w:val="004C34C8"/>
    <w:rsid w:val="004C37AA"/>
    <w:rsid w:val="004C4C22"/>
    <w:rsid w:val="004C4D28"/>
    <w:rsid w:val="004C5814"/>
    <w:rsid w:val="004C5D6A"/>
    <w:rsid w:val="004C70B1"/>
    <w:rsid w:val="004C7276"/>
    <w:rsid w:val="004D02BD"/>
    <w:rsid w:val="004D0C2E"/>
    <w:rsid w:val="004D0CAD"/>
    <w:rsid w:val="004D152B"/>
    <w:rsid w:val="004D1BB6"/>
    <w:rsid w:val="004D1CEF"/>
    <w:rsid w:val="004D1E76"/>
    <w:rsid w:val="004D2E23"/>
    <w:rsid w:val="004D3958"/>
    <w:rsid w:val="004D533F"/>
    <w:rsid w:val="004D5D32"/>
    <w:rsid w:val="004D6333"/>
    <w:rsid w:val="004D6BC2"/>
    <w:rsid w:val="004D7005"/>
    <w:rsid w:val="004D76E0"/>
    <w:rsid w:val="004D78DA"/>
    <w:rsid w:val="004D7960"/>
    <w:rsid w:val="004E00B1"/>
    <w:rsid w:val="004E0DB1"/>
    <w:rsid w:val="004E104B"/>
    <w:rsid w:val="004E182F"/>
    <w:rsid w:val="004E1990"/>
    <w:rsid w:val="004E1E4A"/>
    <w:rsid w:val="004E2022"/>
    <w:rsid w:val="004E26D6"/>
    <w:rsid w:val="004E5411"/>
    <w:rsid w:val="004E54F9"/>
    <w:rsid w:val="004E588D"/>
    <w:rsid w:val="004E5CD5"/>
    <w:rsid w:val="004E65CC"/>
    <w:rsid w:val="004E6649"/>
    <w:rsid w:val="004E6946"/>
    <w:rsid w:val="004E69BB"/>
    <w:rsid w:val="004E6B91"/>
    <w:rsid w:val="004E70F0"/>
    <w:rsid w:val="004E712A"/>
    <w:rsid w:val="004E7358"/>
    <w:rsid w:val="004E7641"/>
    <w:rsid w:val="004E769D"/>
    <w:rsid w:val="004F059B"/>
    <w:rsid w:val="004F08DF"/>
    <w:rsid w:val="004F1AD8"/>
    <w:rsid w:val="004F1BFF"/>
    <w:rsid w:val="004F2566"/>
    <w:rsid w:val="004F26D0"/>
    <w:rsid w:val="004F3878"/>
    <w:rsid w:val="004F3ACE"/>
    <w:rsid w:val="004F3BD8"/>
    <w:rsid w:val="004F48B7"/>
    <w:rsid w:val="004F567D"/>
    <w:rsid w:val="004F56C1"/>
    <w:rsid w:val="004F5D4A"/>
    <w:rsid w:val="004F6CBC"/>
    <w:rsid w:val="004F6E67"/>
    <w:rsid w:val="004F73C5"/>
    <w:rsid w:val="004F7798"/>
    <w:rsid w:val="004F7E3B"/>
    <w:rsid w:val="00501244"/>
    <w:rsid w:val="005019F1"/>
    <w:rsid w:val="005023DF"/>
    <w:rsid w:val="00502A34"/>
    <w:rsid w:val="00502F9D"/>
    <w:rsid w:val="00503111"/>
    <w:rsid w:val="00503253"/>
    <w:rsid w:val="005038B9"/>
    <w:rsid w:val="005039CB"/>
    <w:rsid w:val="00503D55"/>
    <w:rsid w:val="00504198"/>
    <w:rsid w:val="005047E8"/>
    <w:rsid w:val="00504DE5"/>
    <w:rsid w:val="0050558F"/>
    <w:rsid w:val="0050594A"/>
    <w:rsid w:val="00505983"/>
    <w:rsid w:val="00506042"/>
    <w:rsid w:val="00506286"/>
    <w:rsid w:val="0050656B"/>
    <w:rsid w:val="00506B94"/>
    <w:rsid w:val="0051063D"/>
    <w:rsid w:val="00510813"/>
    <w:rsid w:val="005108A7"/>
    <w:rsid w:val="005112F6"/>
    <w:rsid w:val="00511943"/>
    <w:rsid w:val="00511990"/>
    <w:rsid w:val="00511DE0"/>
    <w:rsid w:val="00511DF4"/>
    <w:rsid w:val="00511FE8"/>
    <w:rsid w:val="00513C5D"/>
    <w:rsid w:val="00514870"/>
    <w:rsid w:val="00514B9B"/>
    <w:rsid w:val="00514F69"/>
    <w:rsid w:val="00515046"/>
    <w:rsid w:val="005151EA"/>
    <w:rsid w:val="005165DD"/>
    <w:rsid w:val="00516BBE"/>
    <w:rsid w:val="00517201"/>
    <w:rsid w:val="0051730E"/>
    <w:rsid w:val="00517DEB"/>
    <w:rsid w:val="00517F02"/>
    <w:rsid w:val="005202FB"/>
    <w:rsid w:val="0052105C"/>
    <w:rsid w:val="00521373"/>
    <w:rsid w:val="00521887"/>
    <w:rsid w:val="00522F6A"/>
    <w:rsid w:val="00523135"/>
    <w:rsid w:val="00524291"/>
    <w:rsid w:val="00524303"/>
    <w:rsid w:val="00524A76"/>
    <w:rsid w:val="0052518A"/>
    <w:rsid w:val="00525860"/>
    <w:rsid w:val="005258A2"/>
    <w:rsid w:val="0052590F"/>
    <w:rsid w:val="00525AE9"/>
    <w:rsid w:val="00525C30"/>
    <w:rsid w:val="00525F21"/>
    <w:rsid w:val="00526654"/>
    <w:rsid w:val="00527A89"/>
    <w:rsid w:val="00527FF9"/>
    <w:rsid w:val="005303A7"/>
    <w:rsid w:val="00530D41"/>
    <w:rsid w:val="00530FEF"/>
    <w:rsid w:val="005310C9"/>
    <w:rsid w:val="00531795"/>
    <w:rsid w:val="00531E32"/>
    <w:rsid w:val="00531FD7"/>
    <w:rsid w:val="00532BC4"/>
    <w:rsid w:val="00532CFE"/>
    <w:rsid w:val="00533545"/>
    <w:rsid w:val="005349C6"/>
    <w:rsid w:val="00536536"/>
    <w:rsid w:val="00536949"/>
    <w:rsid w:val="005379E4"/>
    <w:rsid w:val="00537A92"/>
    <w:rsid w:val="00537EFD"/>
    <w:rsid w:val="005401AE"/>
    <w:rsid w:val="00540539"/>
    <w:rsid w:val="00540778"/>
    <w:rsid w:val="005409D2"/>
    <w:rsid w:val="00540BFD"/>
    <w:rsid w:val="0054130C"/>
    <w:rsid w:val="005414C9"/>
    <w:rsid w:val="0054166F"/>
    <w:rsid w:val="00541BF2"/>
    <w:rsid w:val="0054202E"/>
    <w:rsid w:val="005423D8"/>
    <w:rsid w:val="005428D2"/>
    <w:rsid w:val="00542A41"/>
    <w:rsid w:val="00542E07"/>
    <w:rsid w:val="00544058"/>
    <w:rsid w:val="005445CE"/>
    <w:rsid w:val="00544C59"/>
    <w:rsid w:val="00545047"/>
    <w:rsid w:val="005452D0"/>
    <w:rsid w:val="00545424"/>
    <w:rsid w:val="00545F05"/>
    <w:rsid w:val="00546B12"/>
    <w:rsid w:val="00546DA2"/>
    <w:rsid w:val="00547221"/>
    <w:rsid w:val="0054751F"/>
    <w:rsid w:val="005476E7"/>
    <w:rsid w:val="0054775D"/>
    <w:rsid w:val="00547C4A"/>
    <w:rsid w:val="00547F6A"/>
    <w:rsid w:val="00550B48"/>
    <w:rsid w:val="00553441"/>
    <w:rsid w:val="005536D4"/>
    <w:rsid w:val="00553E6B"/>
    <w:rsid w:val="00554A7B"/>
    <w:rsid w:val="00555615"/>
    <w:rsid w:val="0055572C"/>
    <w:rsid w:val="00557C00"/>
    <w:rsid w:val="00557DBB"/>
    <w:rsid w:val="0056025B"/>
    <w:rsid w:val="005602D5"/>
    <w:rsid w:val="005606CA"/>
    <w:rsid w:val="005609DD"/>
    <w:rsid w:val="0056106A"/>
    <w:rsid w:val="00561239"/>
    <w:rsid w:val="00561932"/>
    <w:rsid w:val="00561BC5"/>
    <w:rsid w:val="00561E29"/>
    <w:rsid w:val="00561F52"/>
    <w:rsid w:val="00562595"/>
    <w:rsid w:val="0056305C"/>
    <w:rsid w:val="0056314F"/>
    <w:rsid w:val="005631CB"/>
    <w:rsid w:val="0056342F"/>
    <w:rsid w:val="00563485"/>
    <w:rsid w:val="005637BF"/>
    <w:rsid w:val="00563CBA"/>
    <w:rsid w:val="00564359"/>
    <w:rsid w:val="00564BBB"/>
    <w:rsid w:val="00564E70"/>
    <w:rsid w:val="00565233"/>
    <w:rsid w:val="00565F3D"/>
    <w:rsid w:val="005663DA"/>
    <w:rsid w:val="005663F0"/>
    <w:rsid w:val="00566EEF"/>
    <w:rsid w:val="00566F86"/>
    <w:rsid w:val="0056717E"/>
    <w:rsid w:val="00567839"/>
    <w:rsid w:val="005678B1"/>
    <w:rsid w:val="00570651"/>
    <w:rsid w:val="0057157A"/>
    <w:rsid w:val="0057175F"/>
    <w:rsid w:val="0057186A"/>
    <w:rsid w:val="005720AE"/>
    <w:rsid w:val="00572426"/>
    <w:rsid w:val="00572519"/>
    <w:rsid w:val="0057264D"/>
    <w:rsid w:val="00572A07"/>
    <w:rsid w:val="00572AFF"/>
    <w:rsid w:val="0057339A"/>
    <w:rsid w:val="00573C86"/>
    <w:rsid w:val="005744A5"/>
    <w:rsid w:val="0057492A"/>
    <w:rsid w:val="005750C9"/>
    <w:rsid w:val="00575161"/>
    <w:rsid w:val="00575321"/>
    <w:rsid w:val="00575355"/>
    <w:rsid w:val="00575D67"/>
    <w:rsid w:val="0057621E"/>
    <w:rsid w:val="00576333"/>
    <w:rsid w:val="005763DD"/>
    <w:rsid w:val="00576E94"/>
    <w:rsid w:val="00577619"/>
    <w:rsid w:val="00577975"/>
    <w:rsid w:val="005800ED"/>
    <w:rsid w:val="00580111"/>
    <w:rsid w:val="00580963"/>
    <w:rsid w:val="00580F40"/>
    <w:rsid w:val="005816B5"/>
    <w:rsid w:val="0058172C"/>
    <w:rsid w:val="00581A75"/>
    <w:rsid w:val="00581AAC"/>
    <w:rsid w:val="00582C65"/>
    <w:rsid w:val="00582FFB"/>
    <w:rsid w:val="005830C7"/>
    <w:rsid w:val="00583365"/>
    <w:rsid w:val="00583594"/>
    <w:rsid w:val="005837CA"/>
    <w:rsid w:val="00583C54"/>
    <w:rsid w:val="00583D62"/>
    <w:rsid w:val="0058518D"/>
    <w:rsid w:val="005854CB"/>
    <w:rsid w:val="005858D5"/>
    <w:rsid w:val="005859A2"/>
    <w:rsid w:val="00585AA8"/>
    <w:rsid w:val="00585DEE"/>
    <w:rsid w:val="00585E2D"/>
    <w:rsid w:val="00586D94"/>
    <w:rsid w:val="00590022"/>
    <w:rsid w:val="005914AF"/>
    <w:rsid w:val="005920F4"/>
    <w:rsid w:val="0059212D"/>
    <w:rsid w:val="005924DA"/>
    <w:rsid w:val="00592EFD"/>
    <w:rsid w:val="00593554"/>
    <w:rsid w:val="005939E3"/>
    <w:rsid w:val="00593D0E"/>
    <w:rsid w:val="00594D77"/>
    <w:rsid w:val="00594E17"/>
    <w:rsid w:val="00595DDA"/>
    <w:rsid w:val="005960AF"/>
    <w:rsid w:val="00596739"/>
    <w:rsid w:val="005969C1"/>
    <w:rsid w:val="005969E4"/>
    <w:rsid w:val="00597110"/>
    <w:rsid w:val="0059758F"/>
    <w:rsid w:val="00597D1B"/>
    <w:rsid w:val="00597D1E"/>
    <w:rsid w:val="005A0163"/>
    <w:rsid w:val="005A022D"/>
    <w:rsid w:val="005A046E"/>
    <w:rsid w:val="005A06B7"/>
    <w:rsid w:val="005A06D6"/>
    <w:rsid w:val="005A0D2D"/>
    <w:rsid w:val="005A0DCC"/>
    <w:rsid w:val="005A10C2"/>
    <w:rsid w:val="005A1759"/>
    <w:rsid w:val="005A18B9"/>
    <w:rsid w:val="005A195A"/>
    <w:rsid w:val="005A1E95"/>
    <w:rsid w:val="005A23AF"/>
    <w:rsid w:val="005A2B72"/>
    <w:rsid w:val="005A361C"/>
    <w:rsid w:val="005A3687"/>
    <w:rsid w:val="005A44FA"/>
    <w:rsid w:val="005A4DB3"/>
    <w:rsid w:val="005A5312"/>
    <w:rsid w:val="005A54E9"/>
    <w:rsid w:val="005A5901"/>
    <w:rsid w:val="005A5B40"/>
    <w:rsid w:val="005A5D0D"/>
    <w:rsid w:val="005A63D1"/>
    <w:rsid w:val="005A686E"/>
    <w:rsid w:val="005A68A7"/>
    <w:rsid w:val="005A6BAB"/>
    <w:rsid w:val="005A7DD8"/>
    <w:rsid w:val="005B03A1"/>
    <w:rsid w:val="005B138D"/>
    <w:rsid w:val="005B184B"/>
    <w:rsid w:val="005B19D3"/>
    <w:rsid w:val="005B1A67"/>
    <w:rsid w:val="005B23DC"/>
    <w:rsid w:val="005B3945"/>
    <w:rsid w:val="005B3B96"/>
    <w:rsid w:val="005B3CD9"/>
    <w:rsid w:val="005B3D73"/>
    <w:rsid w:val="005B4265"/>
    <w:rsid w:val="005B4313"/>
    <w:rsid w:val="005B450A"/>
    <w:rsid w:val="005B46F4"/>
    <w:rsid w:val="005B517C"/>
    <w:rsid w:val="005B6142"/>
    <w:rsid w:val="005B624F"/>
    <w:rsid w:val="005B6A1C"/>
    <w:rsid w:val="005B6AA0"/>
    <w:rsid w:val="005B6F74"/>
    <w:rsid w:val="005B747E"/>
    <w:rsid w:val="005B7945"/>
    <w:rsid w:val="005B7D56"/>
    <w:rsid w:val="005C0736"/>
    <w:rsid w:val="005C07E7"/>
    <w:rsid w:val="005C0891"/>
    <w:rsid w:val="005C0ABC"/>
    <w:rsid w:val="005C14A6"/>
    <w:rsid w:val="005C1AC0"/>
    <w:rsid w:val="005C2640"/>
    <w:rsid w:val="005C267A"/>
    <w:rsid w:val="005C2848"/>
    <w:rsid w:val="005C285E"/>
    <w:rsid w:val="005C2B0D"/>
    <w:rsid w:val="005C37DF"/>
    <w:rsid w:val="005C521E"/>
    <w:rsid w:val="005C6C85"/>
    <w:rsid w:val="005C7380"/>
    <w:rsid w:val="005D0143"/>
    <w:rsid w:val="005D0928"/>
    <w:rsid w:val="005D09BC"/>
    <w:rsid w:val="005D1894"/>
    <w:rsid w:val="005D19CD"/>
    <w:rsid w:val="005D1DF5"/>
    <w:rsid w:val="005D2BA1"/>
    <w:rsid w:val="005D2D58"/>
    <w:rsid w:val="005D2FBA"/>
    <w:rsid w:val="005D324A"/>
    <w:rsid w:val="005D34B8"/>
    <w:rsid w:val="005D36AB"/>
    <w:rsid w:val="005D3C45"/>
    <w:rsid w:val="005D427F"/>
    <w:rsid w:val="005D4751"/>
    <w:rsid w:val="005D475B"/>
    <w:rsid w:val="005D4B8F"/>
    <w:rsid w:val="005D50E6"/>
    <w:rsid w:val="005D5A4A"/>
    <w:rsid w:val="005D6BA3"/>
    <w:rsid w:val="005D6D1C"/>
    <w:rsid w:val="005D71AD"/>
    <w:rsid w:val="005D7CE5"/>
    <w:rsid w:val="005E0F3C"/>
    <w:rsid w:val="005E1B20"/>
    <w:rsid w:val="005E1D92"/>
    <w:rsid w:val="005E2C81"/>
    <w:rsid w:val="005E3A22"/>
    <w:rsid w:val="005E4775"/>
    <w:rsid w:val="005E4C97"/>
    <w:rsid w:val="005E502C"/>
    <w:rsid w:val="005E513F"/>
    <w:rsid w:val="005E52E7"/>
    <w:rsid w:val="005E5D96"/>
    <w:rsid w:val="005E65A6"/>
    <w:rsid w:val="005E7920"/>
    <w:rsid w:val="005E7953"/>
    <w:rsid w:val="005E7B2E"/>
    <w:rsid w:val="005F01B2"/>
    <w:rsid w:val="005F0CDE"/>
    <w:rsid w:val="005F0E2F"/>
    <w:rsid w:val="005F1064"/>
    <w:rsid w:val="005F1532"/>
    <w:rsid w:val="005F2962"/>
    <w:rsid w:val="005F3208"/>
    <w:rsid w:val="005F44AA"/>
    <w:rsid w:val="005F4C3F"/>
    <w:rsid w:val="005F501B"/>
    <w:rsid w:val="005F50FE"/>
    <w:rsid w:val="005F6966"/>
    <w:rsid w:val="005F6C47"/>
    <w:rsid w:val="005F6D81"/>
    <w:rsid w:val="006000F0"/>
    <w:rsid w:val="006009D6"/>
    <w:rsid w:val="00600C50"/>
    <w:rsid w:val="00600D1D"/>
    <w:rsid w:val="006010F3"/>
    <w:rsid w:val="006012D5"/>
    <w:rsid w:val="00601829"/>
    <w:rsid w:val="00601929"/>
    <w:rsid w:val="00601ED5"/>
    <w:rsid w:val="006024CB"/>
    <w:rsid w:val="006026C3"/>
    <w:rsid w:val="00602AF9"/>
    <w:rsid w:val="00603B84"/>
    <w:rsid w:val="0060436B"/>
    <w:rsid w:val="00604570"/>
    <w:rsid w:val="006047CE"/>
    <w:rsid w:val="006049F0"/>
    <w:rsid w:val="00604DE2"/>
    <w:rsid w:val="0060509F"/>
    <w:rsid w:val="0060532A"/>
    <w:rsid w:val="006054C0"/>
    <w:rsid w:val="00605581"/>
    <w:rsid w:val="006056A8"/>
    <w:rsid w:val="00605936"/>
    <w:rsid w:val="00605B49"/>
    <w:rsid w:val="00606B1C"/>
    <w:rsid w:val="00606D8E"/>
    <w:rsid w:val="00607366"/>
    <w:rsid w:val="0060742A"/>
    <w:rsid w:val="006077CE"/>
    <w:rsid w:val="006079DA"/>
    <w:rsid w:val="00607E8E"/>
    <w:rsid w:val="00610675"/>
    <w:rsid w:val="006107A5"/>
    <w:rsid w:val="00610B98"/>
    <w:rsid w:val="00611B53"/>
    <w:rsid w:val="0061288D"/>
    <w:rsid w:val="006128A5"/>
    <w:rsid w:val="00612D2F"/>
    <w:rsid w:val="0061338D"/>
    <w:rsid w:val="00613D89"/>
    <w:rsid w:val="0061426D"/>
    <w:rsid w:val="00614933"/>
    <w:rsid w:val="00614F72"/>
    <w:rsid w:val="006151FD"/>
    <w:rsid w:val="0061585A"/>
    <w:rsid w:val="00615BE2"/>
    <w:rsid w:val="00616910"/>
    <w:rsid w:val="00617AC3"/>
    <w:rsid w:val="00617CC3"/>
    <w:rsid w:val="00620072"/>
    <w:rsid w:val="006207FE"/>
    <w:rsid w:val="00620B9A"/>
    <w:rsid w:val="00621438"/>
    <w:rsid w:val="006215D3"/>
    <w:rsid w:val="00621956"/>
    <w:rsid w:val="00621C05"/>
    <w:rsid w:val="00621F4F"/>
    <w:rsid w:val="00622142"/>
    <w:rsid w:val="006225B6"/>
    <w:rsid w:val="00623974"/>
    <w:rsid w:val="00624291"/>
    <w:rsid w:val="0062445F"/>
    <w:rsid w:val="006247F4"/>
    <w:rsid w:val="0062493D"/>
    <w:rsid w:val="00624F1B"/>
    <w:rsid w:val="0062599A"/>
    <w:rsid w:val="006268B2"/>
    <w:rsid w:val="006268B4"/>
    <w:rsid w:val="00626AEB"/>
    <w:rsid w:val="00626D68"/>
    <w:rsid w:val="00626DA2"/>
    <w:rsid w:val="00627B94"/>
    <w:rsid w:val="00627F00"/>
    <w:rsid w:val="00631181"/>
    <w:rsid w:val="00631621"/>
    <w:rsid w:val="006317E6"/>
    <w:rsid w:val="00631ABD"/>
    <w:rsid w:val="00632404"/>
    <w:rsid w:val="00632769"/>
    <w:rsid w:val="006327F4"/>
    <w:rsid w:val="00632A64"/>
    <w:rsid w:val="00633955"/>
    <w:rsid w:val="00633A6B"/>
    <w:rsid w:val="00633B3E"/>
    <w:rsid w:val="00634671"/>
    <w:rsid w:val="006351EB"/>
    <w:rsid w:val="00635714"/>
    <w:rsid w:val="00635CC5"/>
    <w:rsid w:val="00636EE8"/>
    <w:rsid w:val="00637409"/>
    <w:rsid w:val="006377A6"/>
    <w:rsid w:val="00637A3D"/>
    <w:rsid w:val="00637B4B"/>
    <w:rsid w:val="006400E2"/>
    <w:rsid w:val="006411EF"/>
    <w:rsid w:val="00642114"/>
    <w:rsid w:val="006424D7"/>
    <w:rsid w:val="00642ABE"/>
    <w:rsid w:val="00643494"/>
    <w:rsid w:val="006434B9"/>
    <w:rsid w:val="00643E06"/>
    <w:rsid w:val="00643EE6"/>
    <w:rsid w:val="006445CA"/>
    <w:rsid w:val="00644ADC"/>
    <w:rsid w:val="00644B82"/>
    <w:rsid w:val="00644D39"/>
    <w:rsid w:val="00645418"/>
    <w:rsid w:val="0064585A"/>
    <w:rsid w:val="00647334"/>
    <w:rsid w:val="00647737"/>
    <w:rsid w:val="00647FF8"/>
    <w:rsid w:val="006504EE"/>
    <w:rsid w:val="00650696"/>
    <w:rsid w:val="00650CD0"/>
    <w:rsid w:val="00650D58"/>
    <w:rsid w:val="00651B88"/>
    <w:rsid w:val="00651DE5"/>
    <w:rsid w:val="00651E3B"/>
    <w:rsid w:val="00651FAD"/>
    <w:rsid w:val="00653B3C"/>
    <w:rsid w:val="00655255"/>
    <w:rsid w:val="006552C0"/>
    <w:rsid w:val="0065665A"/>
    <w:rsid w:val="006566D7"/>
    <w:rsid w:val="00656855"/>
    <w:rsid w:val="006603B7"/>
    <w:rsid w:val="00660669"/>
    <w:rsid w:val="00660F77"/>
    <w:rsid w:val="00661217"/>
    <w:rsid w:val="006617E1"/>
    <w:rsid w:val="00661CE3"/>
    <w:rsid w:val="00661F07"/>
    <w:rsid w:val="006623CC"/>
    <w:rsid w:val="00662734"/>
    <w:rsid w:val="00662777"/>
    <w:rsid w:val="00662F52"/>
    <w:rsid w:val="00663D8E"/>
    <w:rsid w:val="00664052"/>
    <w:rsid w:val="00664182"/>
    <w:rsid w:val="00664B8D"/>
    <w:rsid w:val="00664FF7"/>
    <w:rsid w:val="006650D5"/>
    <w:rsid w:val="00665423"/>
    <w:rsid w:val="006664F5"/>
    <w:rsid w:val="006667C3"/>
    <w:rsid w:val="00666AE0"/>
    <w:rsid w:val="0066741D"/>
    <w:rsid w:val="006675A8"/>
    <w:rsid w:val="00671278"/>
    <w:rsid w:val="00672545"/>
    <w:rsid w:val="0067317E"/>
    <w:rsid w:val="006735FD"/>
    <w:rsid w:val="006743C7"/>
    <w:rsid w:val="0067440E"/>
    <w:rsid w:val="006748B8"/>
    <w:rsid w:val="0067497D"/>
    <w:rsid w:val="00674CA7"/>
    <w:rsid w:val="00675376"/>
    <w:rsid w:val="006753DF"/>
    <w:rsid w:val="00675815"/>
    <w:rsid w:val="00675B85"/>
    <w:rsid w:val="00675D04"/>
    <w:rsid w:val="00675D1B"/>
    <w:rsid w:val="00675D7B"/>
    <w:rsid w:val="006769EB"/>
    <w:rsid w:val="00676A6D"/>
    <w:rsid w:val="00676B35"/>
    <w:rsid w:val="006775C3"/>
    <w:rsid w:val="00677A18"/>
    <w:rsid w:val="00677E99"/>
    <w:rsid w:val="00680E54"/>
    <w:rsid w:val="00681384"/>
    <w:rsid w:val="006820C3"/>
    <w:rsid w:val="00682722"/>
    <w:rsid w:val="006828F8"/>
    <w:rsid w:val="00682B09"/>
    <w:rsid w:val="00682F24"/>
    <w:rsid w:val="00683256"/>
    <w:rsid w:val="0068353C"/>
    <w:rsid w:val="00683763"/>
    <w:rsid w:val="00684C0A"/>
    <w:rsid w:val="00685177"/>
    <w:rsid w:val="00685227"/>
    <w:rsid w:val="00685A35"/>
    <w:rsid w:val="00687E61"/>
    <w:rsid w:val="00690A4E"/>
    <w:rsid w:val="006919E9"/>
    <w:rsid w:val="00692131"/>
    <w:rsid w:val="006922B1"/>
    <w:rsid w:val="0069230F"/>
    <w:rsid w:val="0069290A"/>
    <w:rsid w:val="00692CED"/>
    <w:rsid w:val="0069338A"/>
    <w:rsid w:val="006942F1"/>
    <w:rsid w:val="00694D70"/>
    <w:rsid w:val="006951A4"/>
    <w:rsid w:val="006952C8"/>
    <w:rsid w:val="006952DE"/>
    <w:rsid w:val="0069648B"/>
    <w:rsid w:val="006966A3"/>
    <w:rsid w:val="00696C58"/>
    <w:rsid w:val="00697012"/>
    <w:rsid w:val="0069775A"/>
    <w:rsid w:val="00697813"/>
    <w:rsid w:val="00697843"/>
    <w:rsid w:val="00697CC3"/>
    <w:rsid w:val="006A0CFB"/>
    <w:rsid w:val="006A1C28"/>
    <w:rsid w:val="006A1C7F"/>
    <w:rsid w:val="006A208A"/>
    <w:rsid w:val="006A2811"/>
    <w:rsid w:val="006A34C9"/>
    <w:rsid w:val="006A3CAB"/>
    <w:rsid w:val="006A3EE8"/>
    <w:rsid w:val="006A5700"/>
    <w:rsid w:val="006A5E9A"/>
    <w:rsid w:val="006A72BF"/>
    <w:rsid w:val="006A72ED"/>
    <w:rsid w:val="006B0162"/>
    <w:rsid w:val="006B02D5"/>
    <w:rsid w:val="006B03F2"/>
    <w:rsid w:val="006B0705"/>
    <w:rsid w:val="006B097D"/>
    <w:rsid w:val="006B0E77"/>
    <w:rsid w:val="006B1045"/>
    <w:rsid w:val="006B195B"/>
    <w:rsid w:val="006B1F70"/>
    <w:rsid w:val="006B231E"/>
    <w:rsid w:val="006B37DC"/>
    <w:rsid w:val="006B3C5C"/>
    <w:rsid w:val="006B4F68"/>
    <w:rsid w:val="006B5019"/>
    <w:rsid w:val="006B5454"/>
    <w:rsid w:val="006B5678"/>
    <w:rsid w:val="006B56FE"/>
    <w:rsid w:val="006B5B0D"/>
    <w:rsid w:val="006B5FC4"/>
    <w:rsid w:val="006B6927"/>
    <w:rsid w:val="006B7352"/>
    <w:rsid w:val="006B742A"/>
    <w:rsid w:val="006B7678"/>
    <w:rsid w:val="006B7907"/>
    <w:rsid w:val="006C026A"/>
    <w:rsid w:val="006C0592"/>
    <w:rsid w:val="006C0A74"/>
    <w:rsid w:val="006C164D"/>
    <w:rsid w:val="006C16D9"/>
    <w:rsid w:val="006C1ACD"/>
    <w:rsid w:val="006C209D"/>
    <w:rsid w:val="006C254B"/>
    <w:rsid w:val="006C272E"/>
    <w:rsid w:val="006C28A0"/>
    <w:rsid w:val="006C2CEA"/>
    <w:rsid w:val="006C2F8E"/>
    <w:rsid w:val="006C3445"/>
    <w:rsid w:val="006C3984"/>
    <w:rsid w:val="006C3F1E"/>
    <w:rsid w:val="006C41F3"/>
    <w:rsid w:val="006C4392"/>
    <w:rsid w:val="006C4F73"/>
    <w:rsid w:val="006C535E"/>
    <w:rsid w:val="006C53E9"/>
    <w:rsid w:val="006C5479"/>
    <w:rsid w:val="006C5553"/>
    <w:rsid w:val="006C5FE2"/>
    <w:rsid w:val="006C6A63"/>
    <w:rsid w:val="006C6DE7"/>
    <w:rsid w:val="006C745C"/>
    <w:rsid w:val="006C7C99"/>
    <w:rsid w:val="006D0A96"/>
    <w:rsid w:val="006D127F"/>
    <w:rsid w:val="006D13B5"/>
    <w:rsid w:val="006D1E81"/>
    <w:rsid w:val="006D2183"/>
    <w:rsid w:val="006D2819"/>
    <w:rsid w:val="006D2D9A"/>
    <w:rsid w:val="006D46DD"/>
    <w:rsid w:val="006D5091"/>
    <w:rsid w:val="006D51E2"/>
    <w:rsid w:val="006D6253"/>
    <w:rsid w:val="006D64AC"/>
    <w:rsid w:val="006D6918"/>
    <w:rsid w:val="006D695F"/>
    <w:rsid w:val="006D6D85"/>
    <w:rsid w:val="006D7F52"/>
    <w:rsid w:val="006E09DD"/>
    <w:rsid w:val="006E12FF"/>
    <w:rsid w:val="006E1510"/>
    <w:rsid w:val="006E18BD"/>
    <w:rsid w:val="006E21A2"/>
    <w:rsid w:val="006E3175"/>
    <w:rsid w:val="006E332D"/>
    <w:rsid w:val="006E38D8"/>
    <w:rsid w:val="006E3921"/>
    <w:rsid w:val="006E3CC3"/>
    <w:rsid w:val="006E3FD3"/>
    <w:rsid w:val="006E48E7"/>
    <w:rsid w:val="006E4E4F"/>
    <w:rsid w:val="006E5430"/>
    <w:rsid w:val="006E55E2"/>
    <w:rsid w:val="006E59D2"/>
    <w:rsid w:val="006E5E78"/>
    <w:rsid w:val="006E607E"/>
    <w:rsid w:val="006E62C2"/>
    <w:rsid w:val="006E69FE"/>
    <w:rsid w:val="006E6F41"/>
    <w:rsid w:val="006E723C"/>
    <w:rsid w:val="006E7DF4"/>
    <w:rsid w:val="006F0467"/>
    <w:rsid w:val="006F07C7"/>
    <w:rsid w:val="006F0817"/>
    <w:rsid w:val="006F0A60"/>
    <w:rsid w:val="006F16B2"/>
    <w:rsid w:val="006F18EC"/>
    <w:rsid w:val="006F276B"/>
    <w:rsid w:val="006F2DA7"/>
    <w:rsid w:val="006F35CC"/>
    <w:rsid w:val="006F3F4A"/>
    <w:rsid w:val="006F45EC"/>
    <w:rsid w:val="006F4640"/>
    <w:rsid w:val="006F4938"/>
    <w:rsid w:val="006F4C5E"/>
    <w:rsid w:val="006F4EC3"/>
    <w:rsid w:val="006F5ECD"/>
    <w:rsid w:val="006F6EA4"/>
    <w:rsid w:val="006F703C"/>
    <w:rsid w:val="006F7681"/>
    <w:rsid w:val="007019B6"/>
    <w:rsid w:val="00701A88"/>
    <w:rsid w:val="00701DCA"/>
    <w:rsid w:val="007033FC"/>
    <w:rsid w:val="0070347A"/>
    <w:rsid w:val="007038C5"/>
    <w:rsid w:val="00703CE8"/>
    <w:rsid w:val="0070418C"/>
    <w:rsid w:val="00704291"/>
    <w:rsid w:val="00704408"/>
    <w:rsid w:val="007046F8"/>
    <w:rsid w:val="007048CD"/>
    <w:rsid w:val="00705549"/>
    <w:rsid w:val="0070599C"/>
    <w:rsid w:val="00705E64"/>
    <w:rsid w:val="00706468"/>
    <w:rsid w:val="007065EC"/>
    <w:rsid w:val="0070672F"/>
    <w:rsid w:val="00706945"/>
    <w:rsid w:val="00706C5D"/>
    <w:rsid w:val="00706C9B"/>
    <w:rsid w:val="0070746B"/>
    <w:rsid w:val="00710654"/>
    <w:rsid w:val="00710C05"/>
    <w:rsid w:val="00711813"/>
    <w:rsid w:val="00711970"/>
    <w:rsid w:val="00711C83"/>
    <w:rsid w:val="007125CC"/>
    <w:rsid w:val="007128F5"/>
    <w:rsid w:val="00712924"/>
    <w:rsid w:val="0071295D"/>
    <w:rsid w:val="00712D8C"/>
    <w:rsid w:val="00712FEF"/>
    <w:rsid w:val="00713498"/>
    <w:rsid w:val="00713997"/>
    <w:rsid w:val="00713BE6"/>
    <w:rsid w:val="007142F9"/>
    <w:rsid w:val="00714365"/>
    <w:rsid w:val="007149B8"/>
    <w:rsid w:val="00714F63"/>
    <w:rsid w:val="00715349"/>
    <w:rsid w:val="00715BD8"/>
    <w:rsid w:val="00716380"/>
    <w:rsid w:val="0071701B"/>
    <w:rsid w:val="00717BA4"/>
    <w:rsid w:val="00720152"/>
    <w:rsid w:val="00720923"/>
    <w:rsid w:val="00720AFD"/>
    <w:rsid w:val="00720BFA"/>
    <w:rsid w:val="00720EC0"/>
    <w:rsid w:val="00720F75"/>
    <w:rsid w:val="00721880"/>
    <w:rsid w:val="00721A5D"/>
    <w:rsid w:val="00721D56"/>
    <w:rsid w:val="007225DF"/>
    <w:rsid w:val="00722EBD"/>
    <w:rsid w:val="00723217"/>
    <w:rsid w:val="00723881"/>
    <w:rsid w:val="00723959"/>
    <w:rsid w:val="00723A24"/>
    <w:rsid w:val="00723EF3"/>
    <w:rsid w:val="00724BFC"/>
    <w:rsid w:val="00724C1C"/>
    <w:rsid w:val="00724C85"/>
    <w:rsid w:val="00724D20"/>
    <w:rsid w:val="00724E15"/>
    <w:rsid w:val="00725050"/>
    <w:rsid w:val="00725293"/>
    <w:rsid w:val="00725CBB"/>
    <w:rsid w:val="00725EB7"/>
    <w:rsid w:val="00726BDC"/>
    <w:rsid w:val="00726FBA"/>
    <w:rsid w:val="007274CA"/>
    <w:rsid w:val="0073006B"/>
    <w:rsid w:val="00730095"/>
    <w:rsid w:val="00730114"/>
    <w:rsid w:val="00730D5C"/>
    <w:rsid w:val="00730EF7"/>
    <w:rsid w:val="00731858"/>
    <w:rsid w:val="00731E8E"/>
    <w:rsid w:val="00732243"/>
    <w:rsid w:val="00732922"/>
    <w:rsid w:val="00732C32"/>
    <w:rsid w:val="007330B2"/>
    <w:rsid w:val="00733276"/>
    <w:rsid w:val="007337CF"/>
    <w:rsid w:val="007338F9"/>
    <w:rsid w:val="00733A43"/>
    <w:rsid w:val="00733EF5"/>
    <w:rsid w:val="00734007"/>
    <w:rsid w:val="0073477D"/>
    <w:rsid w:val="00734A15"/>
    <w:rsid w:val="00735808"/>
    <w:rsid w:val="0073664C"/>
    <w:rsid w:val="00736B58"/>
    <w:rsid w:val="00736FF3"/>
    <w:rsid w:val="007378E4"/>
    <w:rsid w:val="00741026"/>
    <w:rsid w:val="0074121B"/>
    <w:rsid w:val="00741E3E"/>
    <w:rsid w:val="00741F28"/>
    <w:rsid w:val="007423F7"/>
    <w:rsid w:val="00743186"/>
    <w:rsid w:val="00743409"/>
    <w:rsid w:val="0074353E"/>
    <w:rsid w:val="007435B9"/>
    <w:rsid w:val="00744007"/>
    <w:rsid w:val="00744125"/>
    <w:rsid w:val="00744758"/>
    <w:rsid w:val="007461A4"/>
    <w:rsid w:val="007506BE"/>
    <w:rsid w:val="00750810"/>
    <w:rsid w:val="00750BB6"/>
    <w:rsid w:val="00750FA2"/>
    <w:rsid w:val="0075162E"/>
    <w:rsid w:val="007516E3"/>
    <w:rsid w:val="00751EB3"/>
    <w:rsid w:val="00752036"/>
    <w:rsid w:val="007525D4"/>
    <w:rsid w:val="00752FD1"/>
    <w:rsid w:val="00753542"/>
    <w:rsid w:val="0075364B"/>
    <w:rsid w:val="00753A4D"/>
    <w:rsid w:val="00754034"/>
    <w:rsid w:val="00754A89"/>
    <w:rsid w:val="00754C8E"/>
    <w:rsid w:val="00754F98"/>
    <w:rsid w:val="007554D7"/>
    <w:rsid w:val="00755680"/>
    <w:rsid w:val="00756556"/>
    <w:rsid w:val="007568D9"/>
    <w:rsid w:val="00756D39"/>
    <w:rsid w:val="00760695"/>
    <w:rsid w:val="0076071B"/>
    <w:rsid w:val="00761312"/>
    <w:rsid w:val="007618C4"/>
    <w:rsid w:val="00761A41"/>
    <w:rsid w:val="00761AF5"/>
    <w:rsid w:val="007625A1"/>
    <w:rsid w:val="007627E9"/>
    <w:rsid w:val="00762944"/>
    <w:rsid w:val="00762A8C"/>
    <w:rsid w:val="00762F31"/>
    <w:rsid w:val="0076333B"/>
    <w:rsid w:val="007637CA"/>
    <w:rsid w:val="00763843"/>
    <w:rsid w:val="00763F76"/>
    <w:rsid w:val="00764664"/>
    <w:rsid w:val="00765105"/>
    <w:rsid w:val="007655D5"/>
    <w:rsid w:val="00765737"/>
    <w:rsid w:val="00765C7E"/>
    <w:rsid w:val="007661E7"/>
    <w:rsid w:val="0076668D"/>
    <w:rsid w:val="00766884"/>
    <w:rsid w:val="0076712C"/>
    <w:rsid w:val="00767354"/>
    <w:rsid w:val="00767676"/>
    <w:rsid w:val="00767980"/>
    <w:rsid w:val="00767B9B"/>
    <w:rsid w:val="00767F7C"/>
    <w:rsid w:val="007700D5"/>
    <w:rsid w:val="00770119"/>
    <w:rsid w:val="00770491"/>
    <w:rsid w:val="00770644"/>
    <w:rsid w:val="00770B19"/>
    <w:rsid w:val="00772174"/>
    <w:rsid w:val="00772D2A"/>
    <w:rsid w:val="00772F77"/>
    <w:rsid w:val="00773C97"/>
    <w:rsid w:val="00773DFA"/>
    <w:rsid w:val="0077463F"/>
    <w:rsid w:val="00774704"/>
    <w:rsid w:val="0077526B"/>
    <w:rsid w:val="00775A23"/>
    <w:rsid w:val="00775CE3"/>
    <w:rsid w:val="00775DDD"/>
    <w:rsid w:val="00775E19"/>
    <w:rsid w:val="00775F15"/>
    <w:rsid w:val="00776477"/>
    <w:rsid w:val="00777245"/>
    <w:rsid w:val="0077724B"/>
    <w:rsid w:val="00780441"/>
    <w:rsid w:val="00780AC9"/>
    <w:rsid w:val="00780B08"/>
    <w:rsid w:val="00782D59"/>
    <w:rsid w:val="00782E32"/>
    <w:rsid w:val="00782EFC"/>
    <w:rsid w:val="007836EA"/>
    <w:rsid w:val="00783A5A"/>
    <w:rsid w:val="0078409B"/>
    <w:rsid w:val="00784516"/>
    <w:rsid w:val="00784CDA"/>
    <w:rsid w:val="00784D55"/>
    <w:rsid w:val="0078514C"/>
    <w:rsid w:val="007857C4"/>
    <w:rsid w:val="0078598E"/>
    <w:rsid w:val="007859B6"/>
    <w:rsid w:val="007863B7"/>
    <w:rsid w:val="00786615"/>
    <w:rsid w:val="00786BA8"/>
    <w:rsid w:val="00786FDA"/>
    <w:rsid w:val="007877B3"/>
    <w:rsid w:val="00787A11"/>
    <w:rsid w:val="007906C4"/>
    <w:rsid w:val="00790A92"/>
    <w:rsid w:val="00790F9A"/>
    <w:rsid w:val="00791136"/>
    <w:rsid w:val="00791397"/>
    <w:rsid w:val="007913C0"/>
    <w:rsid w:val="0079180D"/>
    <w:rsid w:val="007920A9"/>
    <w:rsid w:val="00792AF7"/>
    <w:rsid w:val="00792DBA"/>
    <w:rsid w:val="007931F6"/>
    <w:rsid w:val="00793632"/>
    <w:rsid w:val="00793C61"/>
    <w:rsid w:val="007940EA"/>
    <w:rsid w:val="0079539D"/>
    <w:rsid w:val="007954D1"/>
    <w:rsid w:val="007956A8"/>
    <w:rsid w:val="007965C2"/>
    <w:rsid w:val="00796611"/>
    <w:rsid w:val="007967E1"/>
    <w:rsid w:val="007967E8"/>
    <w:rsid w:val="007969BD"/>
    <w:rsid w:val="007973CA"/>
    <w:rsid w:val="007979CC"/>
    <w:rsid w:val="00797AA8"/>
    <w:rsid w:val="007A032E"/>
    <w:rsid w:val="007A03DD"/>
    <w:rsid w:val="007A08D8"/>
    <w:rsid w:val="007A0B38"/>
    <w:rsid w:val="007A130F"/>
    <w:rsid w:val="007A1624"/>
    <w:rsid w:val="007A169B"/>
    <w:rsid w:val="007A1F83"/>
    <w:rsid w:val="007A2170"/>
    <w:rsid w:val="007A22BF"/>
    <w:rsid w:val="007A27D3"/>
    <w:rsid w:val="007A3188"/>
    <w:rsid w:val="007A3323"/>
    <w:rsid w:val="007A3356"/>
    <w:rsid w:val="007A3A8A"/>
    <w:rsid w:val="007A442C"/>
    <w:rsid w:val="007A4C16"/>
    <w:rsid w:val="007A4FB0"/>
    <w:rsid w:val="007A5136"/>
    <w:rsid w:val="007A57D0"/>
    <w:rsid w:val="007A5F3E"/>
    <w:rsid w:val="007A6080"/>
    <w:rsid w:val="007A6787"/>
    <w:rsid w:val="007A68FC"/>
    <w:rsid w:val="007A6ED8"/>
    <w:rsid w:val="007A6FAD"/>
    <w:rsid w:val="007A7524"/>
    <w:rsid w:val="007A758A"/>
    <w:rsid w:val="007A7B58"/>
    <w:rsid w:val="007A7D1F"/>
    <w:rsid w:val="007B08B4"/>
    <w:rsid w:val="007B0953"/>
    <w:rsid w:val="007B0D68"/>
    <w:rsid w:val="007B0E90"/>
    <w:rsid w:val="007B1059"/>
    <w:rsid w:val="007B183B"/>
    <w:rsid w:val="007B2380"/>
    <w:rsid w:val="007B259F"/>
    <w:rsid w:val="007B299B"/>
    <w:rsid w:val="007B2D6C"/>
    <w:rsid w:val="007B2E5C"/>
    <w:rsid w:val="007B3154"/>
    <w:rsid w:val="007B3376"/>
    <w:rsid w:val="007B440D"/>
    <w:rsid w:val="007B4443"/>
    <w:rsid w:val="007B46BC"/>
    <w:rsid w:val="007B4976"/>
    <w:rsid w:val="007B5726"/>
    <w:rsid w:val="007B6576"/>
    <w:rsid w:val="007B6799"/>
    <w:rsid w:val="007B6D8E"/>
    <w:rsid w:val="007B72B8"/>
    <w:rsid w:val="007B75E2"/>
    <w:rsid w:val="007B7A58"/>
    <w:rsid w:val="007B7F4B"/>
    <w:rsid w:val="007C01AB"/>
    <w:rsid w:val="007C0A6C"/>
    <w:rsid w:val="007C21B5"/>
    <w:rsid w:val="007C296E"/>
    <w:rsid w:val="007C3686"/>
    <w:rsid w:val="007C3890"/>
    <w:rsid w:val="007C3C96"/>
    <w:rsid w:val="007C3FE4"/>
    <w:rsid w:val="007C49EF"/>
    <w:rsid w:val="007C52A4"/>
    <w:rsid w:val="007C5356"/>
    <w:rsid w:val="007C543F"/>
    <w:rsid w:val="007C5A3A"/>
    <w:rsid w:val="007C5AB3"/>
    <w:rsid w:val="007C5BCB"/>
    <w:rsid w:val="007C5D68"/>
    <w:rsid w:val="007C5EF7"/>
    <w:rsid w:val="007C6706"/>
    <w:rsid w:val="007C677F"/>
    <w:rsid w:val="007C71C2"/>
    <w:rsid w:val="007C73CC"/>
    <w:rsid w:val="007C762D"/>
    <w:rsid w:val="007C77AE"/>
    <w:rsid w:val="007D019E"/>
    <w:rsid w:val="007D04B2"/>
    <w:rsid w:val="007D0765"/>
    <w:rsid w:val="007D0A8A"/>
    <w:rsid w:val="007D1384"/>
    <w:rsid w:val="007D152C"/>
    <w:rsid w:val="007D1B39"/>
    <w:rsid w:val="007D250B"/>
    <w:rsid w:val="007D2D3C"/>
    <w:rsid w:val="007D2D4E"/>
    <w:rsid w:val="007D2E96"/>
    <w:rsid w:val="007D3E95"/>
    <w:rsid w:val="007D3F2C"/>
    <w:rsid w:val="007D43B9"/>
    <w:rsid w:val="007D44B7"/>
    <w:rsid w:val="007D4D0E"/>
    <w:rsid w:val="007D5042"/>
    <w:rsid w:val="007D55AA"/>
    <w:rsid w:val="007D62DE"/>
    <w:rsid w:val="007D6E58"/>
    <w:rsid w:val="007D7EA8"/>
    <w:rsid w:val="007E0082"/>
    <w:rsid w:val="007E01E7"/>
    <w:rsid w:val="007E0A82"/>
    <w:rsid w:val="007E0C39"/>
    <w:rsid w:val="007E10AD"/>
    <w:rsid w:val="007E1567"/>
    <w:rsid w:val="007E2BDD"/>
    <w:rsid w:val="007E2BEB"/>
    <w:rsid w:val="007E32E6"/>
    <w:rsid w:val="007E34E5"/>
    <w:rsid w:val="007E3C78"/>
    <w:rsid w:val="007E4072"/>
    <w:rsid w:val="007E40D7"/>
    <w:rsid w:val="007E4230"/>
    <w:rsid w:val="007E43D9"/>
    <w:rsid w:val="007E4729"/>
    <w:rsid w:val="007E492B"/>
    <w:rsid w:val="007E4BD2"/>
    <w:rsid w:val="007E4BF2"/>
    <w:rsid w:val="007E4FB7"/>
    <w:rsid w:val="007E508E"/>
    <w:rsid w:val="007E509C"/>
    <w:rsid w:val="007E547E"/>
    <w:rsid w:val="007E5D1F"/>
    <w:rsid w:val="007E620D"/>
    <w:rsid w:val="007E6AF5"/>
    <w:rsid w:val="007E70B1"/>
    <w:rsid w:val="007E733E"/>
    <w:rsid w:val="007E7396"/>
    <w:rsid w:val="007F0415"/>
    <w:rsid w:val="007F04B7"/>
    <w:rsid w:val="007F067F"/>
    <w:rsid w:val="007F06EA"/>
    <w:rsid w:val="007F08D6"/>
    <w:rsid w:val="007F0DD4"/>
    <w:rsid w:val="007F10A8"/>
    <w:rsid w:val="007F16A2"/>
    <w:rsid w:val="007F16BD"/>
    <w:rsid w:val="007F2766"/>
    <w:rsid w:val="007F2880"/>
    <w:rsid w:val="007F3364"/>
    <w:rsid w:val="007F3481"/>
    <w:rsid w:val="007F35CF"/>
    <w:rsid w:val="007F3ABE"/>
    <w:rsid w:val="007F3E1C"/>
    <w:rsid w:val="007F4968"/>
    <w:rsid w:val="007F4E77"/>
    <w:rsid w:val="007F6983"/>
    <w:rsid w:val="007F6D67"/>
    <w:rsid w:val="007F6DB8"/>
    <w:rsid w:val="007F7005"/>
    <w:rsid w:val="007F7110"/>
    <w:rsid w:val="007F79F2"/>
    <w:rsid w:val="007F7D99"/>
    <w:rsid w:val="007F7FC9"/>
    <w:rsid w:val="00800C51"/>
    <w:rsid w:val="00800DF2"/>
    <w:rsid w:val="00800E2E"/>
    <w:rsid w:val="00801393"/>
    <w:rsid w:val="008017E6"/>
    <w:rsid w:val="00801B85"/>
    <w:rsid w:val="008026A5"/>
    <w:rsid w:val="008026C4"/>
    <w:rsid w:val="00802721"/>
    <w:rsid w:val="00802AD7"/>
    <w:rsid w:val="00802CC9"/>
    <w:rsid w:val="00802F88"/>
    <w:rsid w:val="008032C9"/>
    <w:rsid w:val="008041DD"/>
    <w:rsid w:val="008042A0"/>
    <w:rsid w:val="00804708"/>
    <w:rsid w:val="00804939"/>
    <w:rsid w:val="00804C2B"/>
    <w:rsid w:val="00805A5A"/>
    <w:rsid w:val="00805EBD"/>
    <w:rsid w:val="00805F01"/>
    <w:rsid w:val="00805F4A"/>
    <w:rsid w:val="008063BC"/>
    <w:rsid w:val="00807C96"/>
    <w:rsid w:val="00810A98"/>
    <w:rsid w:val="00810BEB"/>
    <w:rsid w:val="008110EA"/>
    <w:rsid w:val="008118CD"/>
    <w:rsid w:val="00811970"/>
    <w:rsid w:val="0081293E"/>
    <w:rsid w:val="00812AAB"/>
    <w:rsid w:val="0081407A"/>
    <w:rsid w:val="00814845"/>
    <w:rsid w:val="00815009"/>
    <w:rsid w:val="008150A4"/>
    <w:rsid w:val="00815465"/>
    <w:rsid w:val="00816409"/>
    <w:rsid w:val="0081654C"/>
    <w:rsid w:val="00816606"/>
    <w:rsid w:val="00816C94"/>
    <w:rsid w:val="00816D31"/>
    <w:rsid w:val="008172CE"/>
    <w:rsid w:val="008178DC"/>
    <w:rsid w:val="00817E9A"/>
    <w:rsid w:val="00820516"/>
    <w:rsid w:val="008216E4"/>
    <w:rsid w:val="00822024"/>
    <w:rsid w:val="00822047"/>
    <w:rsid w:val="00823B3B"/>
    <w:rsid w:val="0082451F"/>
    <w:rsid w:val="0082526F"/>
    <w:rsid w:val="008252E6"/>
    <w:rsid w:val="008254AA"/>
    <w:rsid w:val="00825742"/>
    <w:rsid w:val="00825EC1"/>
    <w:rsid w:val="008260F2"/>
    <w:rsid w:val="00826390"/>
    <w:rsid w:val="00826E16"/>
    <w:rsid w:val="00827034"/>
    <w:rsid w:val="00827690"/>
    <w:rsid w:val="00827BC1"/>
    <w:rsid w:val="0083006C"/>
    <w:rsid w:val="008306BD"/>
    <w:rsid w:val="00830A42"/>
    <w:rsid w:val="008315F7"/>
    <w:rsid w:val="008315F9"/>
    <w:rsid w:val="00831854"/>
    <w:rsid w:val="00831A80"/>
    <w:rsid w:val="00831D1D"/>
    <w:rsid w:val="00831E03"/>
    <w:rsid w:val="00831F46"/>
    <w:rsid w:val="008323A6"/>
    <w:rsid w:val="00832E4E"/>
    <w:rsid w:val="00832F8E"/>
    <w:rsid w:val="008330C6"/>
    <w:rsid w:val="00833743"/>
    <w:rsid w:val="00833C2E"/>
    <w:rsid w:val="0083405B"/>
    <w:rsid w:val="008340A4"/>
    <w:rsid w:val="00834129"/>
    <w:rsid w:val="008359EF"/>
    <w:rsid w:val="00835A6A"/>
    <w:rsid w:val="00835C21"/>
    <w:rsid w:val="00840253"/>
    <w:rsid w:val="00840407"/>
    <w:rsid w:val="0084052A"/>
    <w:rsid w:val="0084140E"/>
    <w:rsid w:val="008416D6"/>
    <w:rsid w:val="008418F2"/>
    <w:rsid w:val="0084293E"/>
    <w:rsid w:val="00842CA2"/>
    <w:rsid w:val="00843A1D"/>
    <w:rsid w:val="0084536A"/>
    <w:rsid w:val="008453F6"/>
    <w:rsid w:val="00845D79"/>
    <w:rsid w:val="00846D92"/>
    <w:rsid w:val="00847CF2"/>
    <w:rsid w:val="00847DC7"/>
    <w:rsid w:val="00850282"/>
    <w:rsid w:val="00850F5A"/>
    <w:rsid w:val="0085214C"/>
    <w:rsid w:val="00852164"/>
    <w:rsid w:val="00852A99"/>
    <w:rsid w:val="00852D55"/>
    <w:rsid w:val="00852DF6"/>
    <w:rsid w:val="0085321B"/>
    <w:rsid w:val="00853289"/>
    <w:rsid w:val="00853D61"/>
    <w:rsid w:val="0085556E"/>
    <w:rsid w:val="00855691"/>
    <w:rsid w:val="00855734"/>
    <w:rsid w:val="008562D0"/>
    <w:rsid w:val="00856A03"/>
    <w:rsid w:val="0085732A"/>
    <w:rsid w:val="00857C6A"/>
    <w:rsid w:val="00860C95"/>
    <w:rsid w:val="0086214D"/>
    <w:rsid w:val="00862813"/>
    <w:rsid w:val="00862D7D"/>
    <w:rsid w:val="00862FD0"/>
    <w:rsid w:val="00863A2F"/>
    <w:rsid w:val="00863D57"/>
    <w:rsid w:val="00863ECC"/>
    <w:rsid w:val="0086543D"/>
    <w:rsid w:val="00865C09"/>
    <w:rsid w:val="00866370"/>
    <w:rsid w:val="00866D25"/>
    <w:rsid w:val="008675B2"/>
    <w:rsid w:val="00867CCE"/>
    <w:rsid w:val="00870A9B"/>
    <w:rsid w:val="00871172"/>
    <w:rsid w:val="0087135F"/>
    <w:rsid w:val="00871493"/>
    <w:rsid w:val="00871A69"/>
    <w:rsid w:val="00872077"/>
    <w:rsid w:val="0087244E"/>
    <w:rsid w:val="00872D94"/>
    <w:rsid w:val="008734C8"/>
    <w:rsid w:val="00873BEC"/>
    <w:rsid w:val="00874026"/>
    <w:rsid w:val="008742D5"/>
    <w:rsid w:val="0087438D"/>
    <w:rsid w:val="0087493E"/>
    <w:rsid w:val="00874975"/>
    <w:rsid w:val="00874A47"/>
    <w:rsid w:val="0087579C"/>
    <w:rsid w:val="00875AFD"/>
    <w:rsid w:val="008765BF"/>
    <w:rsid w:val="0087765A"/>
    <w:rsid w:val="00877919"/>
    <w:rsid w:val="00877976"/>
    <w:rsid w:val="00877B07"/>
    <w:rsid w:val="00877B6F"/>
    <w:rsid w:val="00880364"/>
    <w:rsid w:val="00880798"/>
    <w:rsid w:val="00880879"/>
    <w:rsid w:val="00880CA9"/>
    <w:rsid w:val="00880E9E"/>
    <w:rsid w:val="008810FD"/>
    <w:rsid w:val="00881942"/>
    <w:rsid w:val="008825F0"/>
    <w:rsid w:val="00883013"/>
    <w:rsid w:val="0088343C"/>
    <w:rsid w:val="00883D81"/>
    <w:rsid w:val="00885100"/>
    <w:rsid w:val="00885474"/>
    <w:rsid w:val="0088576A"/>
    <w:rsid w:val="00885E70"/>
    <w:rsid w:val="00886BAE"/>
    <w:rsid w:val="00886D4B"/>
    <w:rsid w:val="00887841"/>
    <w:rsid w:val="00890175"/>
    <w:rsid w:val="00890802"/>
    <w:rsid w:val="008910C2"/>
    <w:rsid w:val="0089152D"/>
    <w:rsid w:val="00891556"/>
    <w:rsid w:val="00891592"/>
    <w:rsid w:val="00891754"/>
    <w:rsid w:val="00891A66"/>
    <w:rsid w:val="00891E9E"/>
    <w:rsid w:val="0089229B"/>
    <w:rsid w:val="00893397"/>
    <w:rsid w:val="0089448E"/>
    <w:rsid w:val="00894A6C"/>
    <w:rsid w:val="00894E0B"/>
    <w:rsid w:val="00896820"/>
    <w:rsid w:val="00896E4D"/>
    <w:rsid w:val="00897C83"/>
    <w:rsid w:val="00897F38"/>
    <w:rsid w:val="008A013F"/>
    <w:rsid w:val="008A08F8"/>
    <w:rsid w:val="008A135D"/>
    <w:rsid w:val="008A1384"/>
    <w:rsid w:val="008A24C7"/>
    <w:rsid w:val="008A292E"/>
    <w:rsid w:val="008A2F68"/>
    <w:rsid w:val="008A3988"/>
    <w:rsid w:val="008A3AB2"/>
    <w:rsid w:val="008A3F39"/>
    <w:rsid w:val="008A428B"/>
    <w:rsid w:val="008A46F0"/>
    <w:rsid w:val="008A552F"/>
    <w:rsid w:val="008A5A26"/>
    <w:rsid w:val="008A5AF2"/>
    <w:rsid w:val="008A5CBD"/>
    <w:rsid w:val="008A60B9"/>
    <w:rsid w:val="008A62E7"/>
    <w:rsid w:val="008A6310"/>
    <w:rsid w:val="008A673A"/>
    <w:rsid w:val="008A718F"/>
    <w:rsid w:val="008A71FE"/>
    <w:rsid w:val="008A7D84"/>
    <w:rsid w:val="008B014A"/>
    <w:rsid w:val="008B0429"/>
    <w:rsid w:val="008B051D"/>
    <w:rsid w:val="008B0B04"/>
    <w:rsid w:val="008B219B"/>
    <w:rsid w:val="008B2C54"/>
    <w:rsid w:val="008B3C24"/>
    <w:rsid w:val="008B425D"/>
    <w:rsid w:val="008B4633"/>
    <w:rsid w:val="008B4A64"/>
    <w:rsid w:val="008B4FA6"/>
    <w:rsid w:val="008B5042"/>
    <w:rsid w:val="008B5049"/>
    <w:rsid w:val="008B5282"/>
    <w:rsid w:val="008B560B"/>
    <w:rsid w:val="008B7760"/>
    <w:rsid w:val="008B7C17"/>
    <w:rsid w:val="008C03C1"/>
    <w:rsid w:val="008C0EB3"/>
    <w:rsid w:val="008C130E"/>
    <w:rsid w:val="008C1CD7"/>
    <w:rsid w:val="008C1F61"/>
    <w:rsid w:val="008C2B24"/>
    <w:rsid w:val="008C2B31"/>
    <w:rsid w:val="008C2D01"/>
    <w:rsid w:val="008C3832"/>
    <w:rsid w:val="008C38D4"/>
    <w:rsid w:val="008C40E6"/>
    <w:rsid w:val="008C4119"/>
    <w:rsid w:val="008C42EF"/>
    <w:rsid w:val="008C46EE"/>
    <w:rsid w:val="008C4734"/>
    <w:rsid w:val="008C5EFB"/>
    <w:rsid w:val="008C6799"/>
    <w:rsid w:val="008C69ED"/>
    <w:rsid w:val="008C7C6C"/>
    <w:rsid w:val="008D071D"/>
    <w:rsid w:val="008D0F7A"/>
    <w:rsid w:val="008D12A5"/>
    <w:rsid w:val="008D1D2C"/>
    <w:rsid w:val="008D22C1"/>
    <w:rsid w:val="008D2E73"/>
    <w:rsid w:val="008D5442"/>
    <w:rsid w:val="008D661E"/>
    <w:rsid w:val="008D68E4"/>
    <w:rsid w:val="008D752A"/>
    <w:rsid w:val="008D7DAE"/>
    <w:rsid w:val="008E03F7"/>
    <w:rsid w:val="008E0506"/>
    <w:rsid w:val="008E07DC"/>
    <w:rsid w:val="008E0CFF"/>
    <w:rsid w:val="008E0DE5"/>
    <w:rsid w:val="008E16B1"/>
    <w:rsid w:val="008E179D"/>
    <w:rsid w:val="008E1A58"/>
    <w:rsid w:val="008E1ACC"/>
    <w:rsid w:val="008E2115"/>
    <w:rsid w:val="008E2137"/>
    <w:rsid w:val="008E3BC5"/>
    <w:rsid w:val="008E412E"/>
    <w:rsid w:val="008E4264"/>
    <w:rsid w:val="008E436E"/>
    <w:rsid w:val="008E48A9"/>
    <w:rsid w:val="008E4E79"/>
    <w:rsid w:val="008E5244"/>
    <w:rsid w:val="008E5440"/>
    <w:rsid w:val="008E555C"/>
    <w:rsid w:val="008E5A3B"/>
    <w:rsid w:val="008E5D6B"/>
    <w:rsid w:val="008E60F2"/>
    <w:rsid w:val="008E6456"/>
    <w:rsid w:val="008E66AB"/>
    <w:rsid w:val="008E71DB"/>
    <w:rsid w:val="008E76F0"/>
    <w:rsid w:val="008E7CFD"/>
    <w:rsid w:val="008F0931"/>
    <w:rsid w:val="008F1327"/>
    <w:rsid w:val="008F15FE"/>
    <w:rsid w:val="008F29C2"/>
    <w:rsid w:val="008F2BC4"/>
    <w:rsid w:val="008F2D29"/>
    <w:rsid w:val="008F2EC8"/>
    <w:rsid w:val="008F367E"/>
    <w:rsid w:val="008F3E28"/>
    <w:rsid w:val="008F40EA"/>
    <w:rsid w:val="008F42BD"/>
    <w:rsid w:val="008F4E9F"/>
    <w:rsid w:val="008F5187"/>
    <w:rsid w:val="008F559B"/>
    <w:rsid w:val="008F60D8"/>
    <w:rsid w:val="008F662A"/>
    <w:rsid w:val="008F67A2"/>
    <w:rsid w:val="008F6BD0"/>
    <w:rsid w:val="008F789A"/>
    <w:rsid w:val="008F7BED"/>
    <w:rsid w:val="008F7F3A"/>
    <w:rsid w:val="0090059E"/>
    <w:rsid w:val="00900C3C"/>
    <w:rsid w:val="00900E0D"/>
    <w:rsid w:val="00900E53"/>
    <w:rsid w:val="00901334"/>
    <w:rsid w:val="009017E8"/>
    <w:rsid w:val="0090196C"/>
    <w:rsid w:val="00901F51"/>
    <w:rsid w:val="00902727"/>
    <w:rsid w:val="0090312B"/>
    <w:rsid w:val="00903766"/>
    <w:rsid w:val="009041F7"/>
    <w:rsid w:val="009047A4"/>
    <w:rsid w:val="0090565A"/>
    <w:rsid w:val="009057E6"/>
    <w:rsid w:val="009058F1"/>
    <w:rsid w:val="00905E05"/>
    <w:rsid w:val="009061F3"/>
    <w:rsid w:val="00907099"/>
    <w:rsid w:val="00907B1C"/>
    <w:rsid w:val="00907D6E"/>
    <w:rsid w:val="009106B1"/>
    <w:rsid w:val="00910780"/>
    <w:rsid w:val="00910D76"/>
    <w:rsid w:val="00911114"/>
    <w:rsid w:val="0091166D"/>
    <w:rsid w:val="009118CC"/>
    <w:rsid w:val="00911C0E"/>
    <w:rsid w:val="0091276C"/>
    <w:rsid w:val="0091280E"/>
    <w:rsid w:val="009128F8"/>
    <w:rsid w:val="00912CFF"/>
    <w:rsid w:val="00913820"/>
    <w:rsid w:val="00913A3A"/>
    <w:rsid w:val="00913F99"/>
    <w:rsid w:val="00914681"/>
    <w:rsid w:val="00915621"/>
    <w:rsid w:val="00915994"/>
    <w:rsid w:val="00915C4F"/>
    <w:rsid w:val="00916014"/>
    <w:rsid w:val="00916287"/>
    <w:rsid w:val="00916B5C"/>
    <w:rsid w:val="0091736D"/>
    <w:rsid w:val="009173B7"/>
    <w:rsid w:val="00917530"/>
    <w:rsid w:val="00917531"/>
    <w:rsid w:val="00917820"/>
    <w:rsid w:val="00917F6A"/>
    <w:rsid w:val="009202D8"/>
    <w:rsid w:val="009204DE"/>
    <w:rsid w:val="0092103C"/>
    <w:rsid w:val="00921766"/>
    <w:rsid w:val="00921D8C"/>
    <w:rsid w:val="00922B04"/>
    <w:rsid w:val="009235C9"/>
    <w:rsid w:val="00923798"/>
    <w:rsid w:val="009239B3"/>
    <w:rsid w:val="00923A1A"/>
    <w:rsid w:val="00925871"/>
    <w:rsid w:val="00925A16"/>
    <w:rsid w:val="00925C0A"/>
    <w:rsid w:val="009262AE"/>
    <w:rsid w:val="00926C99"/>
    <w:rsid w:val="0092728B"/>
    <w:rsid w:val="009272FC"/>
    <w:rsid w:val="00927622"/>
    <w:rsid w:val="009302BE"/>
    <w:rsid w:val="0093037A"/>
    <w:rsid w:val="009313FB"/>
    <w:rsid w:val="0093233C"/>
    <w:rsid w:val="009326EA"/>
    <w:rsid w:val="00932F6D"/>
    <w:rsid w:val="00933C3B"/>
    <w:rsid w:val="00934525"/>
    <w:rsid w:val="00934993"/>
    <w:rsid w:val="00934EEC"/>
    <w:rsid w:val="00934F85"/>
    <w:rsid w:val="009352F9"/>
    <w:rsid w:val="009355E6"/>
    <w:rsid w:val="009362BC"/>
    <w:rsid w:val="00936B2D"/>
    <w:rsid w:val="00937555"/>
    <w:rsid w:val="00937743"/>
    <w:rsid w:val="009409E3"/>
    <w:rsid w:val="00940AFB"/>
    <w:rsid w:val="00940B94"/>
    <w:rsid w:val="00940C8B"/>
    <w:rsid w:val="00940D5A"/>
    <w:rsid w:val="0094154D"/>
    <w:rsid w:val="00941AB3"/>
    <w:rsid w:val="00941E5B"/>
    <w:rsid w:val="0094237D"/>
    <w:rsid w:val="00942640"/>
    <w:rsid w:val="0094289C"/>
    <w:rsid w:val="009429FE"/>
    <w:rsid w:val="00943334"/>
    <w:rsid w:val="00943E90"/>
    <w:rsid w:val="00943FDF"/>
    <w:rsid w:val="00944552"/>
    <w:rsid w:val="0094462C"/>
    <w:rsid w:val="0094515F"/>
    <w:rsid w:val="0094516F"/>
    <w:rsid w:val="0094538D"/>
    <w:rsid w:val="00945E58"/>
    <w:rsid w:val="009460B0"/>
    <w:rsid w:val="009465C0"/>
    <w:rsid w:val="00946A73"/>
    <w:rsid w:val="00947453"/>
    <w:rsid w:val="009474DE"/>
    <w:rsid w:val="009476AC"/>
    <w:rsid w:val="00950065"/>
    <w:rsid w:val="0095007D"/>
    <w:rsid w:val="00950FC2"/>
    <w:rsid w:val="009514C9"/>
    <w:rsid w:val="0095155F"/>
    <w:rsid w:val="009517F6"/>
    <w:rsid w:val="009519ED"/>
    <w:rsid w:val="00951C0A"/>
    <w:rsid w:val="009521CB"/>
    <w:rsid w:val="00952212"/>
    <w:rsid w:val="0095278B"/>
    <w:rsid w:val="00952834"/>
    <w:rsid w:val="009536D2"/>
    <w:rsid w:val="00954429"/>
    <w:rsid w:val="00954B29"/>
    <w:rsid w:val="00955338"/>
    <w:rsid w:val="009558EB"/>
    <w:rsid w:val="00955A43"/>
    <w:rsid w:val="009561FB"/>
    <w:rsid w:val="009563CE"/>
    <w:rsid w:val="0095671A"/>
    <w:rsid w:val="00956AF7"/>
    <w:rsid w:val="00956E70"/>
    <w:rsid w:val="00956EB9"/>
    <w:rsid w:val="0095739D"/>
    <w:rsid w:val="00957C4B"/>
    <w:rsid w:val="00957C79"/>
    <w:rsid w:val="00957E39"/>
    <w:rsid w:val="00961297"/>
    <w:rsid w:val="00961A7E"/>
    <w:rsid w:val="0096290C"/>
    <w:rsid w:val="009630CB"/>
    <w:rsid w:val="009634E8"/>
    <w:rsid w:val="00964217"/>
    <w:rsid w:val="00964621"/>
    <w:rsid w:val="00965352"/>
    <w:rsid w:val="009657CD"/>
    <w:rsid w:val="009657E3"/>
    <w:rsid w:val="00965B84"/>
    <w:rsid w:val="00965E39"/>
    <w:rsid w:val="00966634"/>
    <w:rsid w:val="0096761D"/>
    <w:rsid w:val="00967850"/>
    <w:rsid w:val="00970407"/>
    <w:rsid w:val="0097049E"/>
    <w:rsid w:val="00970ADF"/>
    <w:rsid w:val="00971F93"/>
    <w:rsid w:val="0097200E"/>
    <w:rsid w:val="00972150"/>
    <w:rsid w:val="00972F8C"/>
    <w:rsid w:val="009731DA"/>
    <w:rsid w:val="00973708"/>
    <w:rsid w:val="00973A9A"/>
    <w:rsid w:val="0097405B"/>
    <w:rsid w:val="00974C77"/>
    <w:rsid w:val="00974EF9"/>
    <w:rsid w:val="009750C7"/>
    <w:rsid w:val="009751C0"/>
    <w:rsid w:val="009751DB"/>
    <w:rsid w:val="00975FDF"/>
    <w:rsid w:val="00976328"/>
    <w:rsid w:val="009763D9"/>
    <w:rsid w:val="0097680D"/>
    <w:rsid w:val="009769C5"/>
    <w:rsid w:val="009769E2"/>
    <w:rsid w:val="00976BE2"/>
    <w:rsid w:val="00976FA9"/>
    <w:rsid w:val="00977034"/>
    <w:rsid w:val="009804CF"/>
    <w:rsid w:val="00980925"/>
    <w:rsid w:val="00980B2B"/>
    <w:rsid w:val="00980CD3"/>
    <w:rsid w:val="00982438"/>
    <w:rsid w:val="00982C32"/>
    <w:rsid w:val="00982DCB"/>
    <w:rsid w:val="00983C1D"/>
    <w:rsid w:val="00983C2A"/>
    <w:rsid w:val="00983C88"/>
    <w:rsid w:val="0098404C"/>
    <w:rsid w:val="009841BD"/>
    <w:rsid w:val="00984621"/>
    <w:rsid w:val="0098480E"/>
    <w:rsid w:val="00984A7A"/>
    <w:rsid w:val="00985283"/>
    <w:rsid w:val="00985DBB"/>
    <w:rsid w:val="0098762E"/>
    <w:rsid w:val="009876A3"/>
    <w:rsid w:val="00987A36"/>
    <w:rsid w:val="00987BBE"/>
    <w:rsid w:val="00987D40"/>
    <w:rsid w:val="009900E7"/>
    <w:rsid w:val="009903B6"/>
    <w:rsid w:val="00990654"/>
    <w:rsid w:val="00992035"/>
    <w:rsid w:val="009921B3"/>
    <w:rsid w:val="00992B61"/>
    <w:rsid w:val="00992D89"/>
    <w:rsid w:val="00993301"/>
    <w:rsid w:val="00993845"/>
    <w:rsid w:val="00993AA9"/>
    <w:rsid w:val="00993ADC"/>
    <w:rsid w:val="00993CB0"/>
    <w:rsid w:val="00993CE4"/>
    <w:rsid w:val="00993E31"/>
    <w:rsid w:val="00995200"/>
    <w:rsid w:val="00995556"/>
    <w:rsid w:val="00995992"/>
    <w:rsid w:val="0099731E"/>
    <w:rsid w:val="0099756A"/>
    <w:rsid w:val="009A03E5"/>
    <w:rsid w:val="009A0467"/>
    <w:rsid w:val="009A0F3B"/>
    <w:rsid w:val="009A1BB4"/>
    <w:rsid w:val="009A1BD9"/>
    <w:rsid w:val="009A220E"/>
    <w:rsid w:val="009A2628"/>
    <w:rsid w:val="009A2744"/>
    <w:rsid w:val="009A2784"/>
    <w:rsid w:val="009A2995"/>
    <w:rsid w:val="009A2A23"/>
    <w:rsid w:val="009A2D42"/>
    <w:rsid w:val="009A30E3"/>
    <w:rsid w:val="009A314E"/>
    <w:rsid w:val="009A3200"/>
    <w:rsid w:val="009A323F"/>
    <w:rsid w:val="009A330E"/>
    <w:rsid w:val="009A3A3E"/>
    <w:rsid w:val="009A3CF0"/>
    <w:rsid w:val="009A4075"/>
    <w:rsid w:val="009A44D9"/>
    <w:rsid w:val="009A56B6"/>
    <w:rsid w:val="009A5B02"/>
    <w:rsid w:val="009A5B7D"/>
    <w:rsid w:val="009A6486"/>
    <w:rsid w:val="009A676E"/>
    <w:rsid w:val="009A6993"/>
    <w:rsid w:val="009A6D35"/>
    <w:rsid w:val="009A72AD"/>
    <w:rsid w:val="009A7354"/>
    <w:rsid w:val="009B0897"/>
    <w:rsid w:val="009B0E6A"/>
    <w:rsid w:val="009B141A"/>
    <w:rsid w:val="009B1B79"/>
    <w:rsid w:val="009B24B2"/>
    <w:rsid w:val="009B2A06"/>
    <w:rsid w:val="009B2A0E"/>
    <w:rsid w:val="009B3B39"/>
    <w:rsid w:val="009B6DF5"/>
    <w:rsid w:val="009B7371"/>
    <w:rsid w:val="009B751C"/>
    <w:rsid w:val="009B7BD9"/>
    <w:rsid w:val="009C02A6"/>
    <w:rsid w:val="009C0658"/>
    <w:rsid w:val="009C0E84"/>
    <w:rsid w:val="009C1065"/>
    <w:rsid w:val="009C12B0"/>
    <w:rsid w:val="009C26B5"/>
    <w:rsid w:val="009C32AC"/>
    <w:rsid w:val="009C335B"/>
    <w:rsid w:val="009C3479"/>
    <w:rsid w:val="009C38DB"/>
    <w:rsid w:val="009C3D46"/>
    <w:rsid w:val="009C4B32"/>
    <w:rsid w:val="009C50DF"/>
    <w:rsid w:val="009C51AE"/>
    <w:rsid w:val="009C5287"/>
    <w:rsid w:val="009C56A8"/>
    <w:rsid w:val="009C7112"/>
    <w:rsid w:val="009C71C0"/>
    <w:rsid w:val="009C792C"/>
    <w:rsid w:val="009C7AF5"/>
    <w:rsid w:val="009C7D10"/>
    <w:rsid w:val="009C7DD5"/>
    <w:rsid w:val="009D0B82"/>
    <w:rsid w:val="009D0D2C"/>
    <w:rsid w:val="009D0F34"/>
    <w:rsid w:val="009D116B"/>
    <w:rsid w:val="009D152F"/>
    <w:rsid w:val="009D1F94"/>
    <w:rsid w:val="009D20BF"/>
    <w:rsid w:val="009D20DA"/>
    <w:rsid w:val="009D2305"/>
    <w:rsid w:val="009D35D1"/>
    <w:rsid w:val="009D3A65"/>
    <w:rsid w:val="009D4ACC"/>
    <w:rsid w:val="009D4D50"/>
    <w:rsid w:val="009D59A4"/>
    <w:rsid w:val="009D5A58"/>
    <w:rsid w:val="009D5E25"/>
    <w:rsid w:val="009D65E4"/>
    <w:rsid w:val="009D78FA"/>
    <w:rsid w:val="009D7972"/>
    <w:rsid w:val="009E0362"/>
    <w:rsid w:val="009E072F"/>
    <w:rsid w:val="009E07BA"/>
    <w:rsid w:val="009E07DE"/>
    <w:rsid w:val="009E109E"/>
    <w:rsid w:val="009E14FF"/>
    <w:rsid w:val="009E227D"/>
    <w:rsid w:val="009E2683"/>
    <w:rsid w:val="009E2ADD"/>
    <w:rsid w:val="009E383F"/>
    <w:rsid w:val="009E45E6"/>
    <w:rsid w:val="009E4B9B"/>
    <w:rsid w:val="009E5019"/>
    <w:rsid w:val="009E5408"/>
    <w:rsid w:val="009E69BA"/>
    <w:rsid w:val="009E6BD6"/>
    <w:rsid w:val="009E7088"/>
    <w:rsid w:val="009F14A9"/>
    <w:rsid w:val="009F1759"/>
    <w:rsid w:val="009F19B0"/>
    <w:rsid w:val="009F19DF"/>
    <w:rsid w:val="009F1D71"/>
    <w:rsid w:val="009F1F80"/>
    <w:rsid w:val="009F22E0"/>
    <w:rsid w:val="009F2511"/>
    <w:rsid w:val="009F26EE"/>
    <w:rsid w:val="009F27AF"/>
    <w:rsid w:val="009F307C"/>
    <w:rsid w:val="009F30D6"/>
    <w:rsid w:val="009F3AE1"/>
    <w:rsid w:val="009F404B"/>
    <w:rsid w:val="009F523B"/>
    <w:rsid w:val="009F5562"/>
    <w:rsid w:val="009F571D"/>
    <w:rsid w:val="009F5C43"/>
    <w:rsid w:val="009F5F92"/>
    <w:rsid w:val="009F6324"/>
    <w:rsid w:val="009F65B6"/>
    <w:rsid w:val="009F68DF"/>
    <w:rsid w:val="009F6ABB"/>
    <w:rsid w:val="009F6CBC"/>
    <w:rsid w:val="00A00496"/>
    <w:rsid w:val="00A00C11"/>
    <w:rsid w:val="00A0149D"/>
    <w:rsid w:val="00A016B3"/>
    <w:rsid w:val="00A021F9"/>
    <w:rsid w:val="00A02367"/>
    <w:rsid w:val="00A024DE"/>
    <w:rsid w:val="00A029C2"/>
    <w:rsid w:val="00A035F3"/>
    <w:rsid w:val="00A0392B"/>
    <w:rsid w:val="00A03DB0"/>
    <w:rsid w:val="00A041C1"/>
    <w:rsid w:val="00A04ED6"/>
    <w:rsid w:val="00A04F1B"/>
    <w:rsid w:val="00A0501B"/>
    <w:rsid w:val="00A051B4"/>
    <w:rsid w:val="00A052DC"/>
    <w:rsid w:val="00A0536B"/>
    <w:rsid w:val="00A053C9"/>
    <w:rsid w:val="00A05D95"/>
    <w:rsid w:val="00A0641C"/>
    <w:rsid w:val="00A066D7"/>
    <w:rsid w:val="00A06828"/>
    <w:rsid w:val="00A07B84"/>
    <w:rsid w:val="00A07CFC"/>
    <w:rsid w:val="00A10EEF"/>
    <w:rsid w:val="00A10FF9"/>
    <w:rsid w:val="00A1103C"/>
    <w:rsid w:val="00A11479"/>
    <w:rsid w:val="00A11663"/>
    <w:rsid w:val="00A12A08"/>
    <w:rsid w:val="00A12AD3"/>
    <w:rsid w:val="00A12EB3"/>
    <w:rsid w:val="00A13172"/>
    <w:rsid w:val="00A13662"/>
    <w:rsid w:val="00A13D7F"/>
    <w:rsid w:val="00A14137"/>
    <w:rsid w:val="00A14451"/>
    <w:rsid w:val="00A145C7"/>
    <w:rsid w:val="00A146BD"/>
    <w:rsid w:val="00A14947"/>
    <w:rsid w:val="00A155B1"/>
    <w:rsid w:val="00A15629"/>
    <w:rsid w:val="00A15D9F"/>
    <w:rsid w:val="00A15DAA"/>
    <w:rsid w:val="00A16548"/>
    <w:rsid w:val="00A1672D"/>
    <w:rsid w:val="00A16BBC"/>
    <w:rsid w:val="00A17013"/>
    <w:rsid w:val="00A17376"/>
    <w:rsid w:val="00A17BDD"/>
    <w:rsid w:val="00A20082"/>
    <w:rsid w:val="00A20A8D"/>
    <w:rsid w:val="00A20FB4"/>
    <w:rsid w:val="00A216CF"/>
    <w:rsid w:val="00A21823"/>
    <w:rsid w:val="00A2199F"/>
    <w:rsid w:val="00A21C97"/>
    <w:rsid w:val="00A21CA3"/>
    <w:rsid w:val="00A22788"/>
    <w:rsid w:val="00A22FCA"/>
    <w:rsid w:val="00A24B5D"/>
    <w:rsid w:val="00A2501F"/>
    <w:rsid w:val="00A256E4"/>
    <w:rsid w:val="00A25F6A"/>
    <w:rsid w:val="00A260FE"/>
    <w:rsid w:val="00A265EE"/>
    <w:rsid w:val="00A26621"/>
    <w:rsid w:val="00A26A19"/>
    <w:rsid w:val="00A26B77"/>
    <w:rsid w:val="00A26D79"/>
    <w:rsid w:val="00A31AF6"/>
    <w:rsid w:val="00A31AF8"/>
    <w:rsid w:val="00A31B0F"/>
    <w:rsid w:val="00A32097"/>
    <w:rsid w:val="00A32256"/>
    <w:rsid w:val="00A324DB"/>
    <w:rsid w:val="00A326A8"/>
    <w:rsid w:val="00A32742"/>
    <w:rsid w:val="00A329E1"/>
    <w:rsid w:val="00A32A83"/>
    <w:rsid w:val="00A33824"/>
    <w:rsid w:val="00A3408D"/>
    <w:rsid w:val="00A35177"/>
    <w:rsid w:val="00A35313"/>
    <w:rsid w:val="00A35383"/>
    <w:rsid w:val="00A35524"/>
    <w:rsid w:val="00A35A55"/>
    <w:rsid w:val="00A35B2F"/>
    <w:rsid w:val="00A35C30"/>
    <w:rsid w:val="00A35FD6"/>
    <w:rsid w:val="00A368DB"/>
    <w:rsid w:val="00A36D0D"/>
    <w:rsid w:val="00A3700B"/>
    <w:rsid w:val="00A37121"/>
    <w:rsid w:val="00A377F4"/>
    <w:rsid w:val="00A40290"/>
    <w:rsid w:val="00A4071F"/>
    <w:rsid w:val="00A40FE3"/>
    <w:rsid w:val="00A41B8F"/>
    <w:rsid w:val="00A41BF1"/>
    <w:rsid w:val="00A41C94"/>
    <w:rsid w:val="00A41FA8"/>
    <w:rsid w:val="00A423AA"/>
    <w:rsid w:val="00A42964"/>
    <w:rsid w:val="00A42E32"/>
    <w:rsid w:val="00A42F0F"/>
    <w:rsid w:val="00A4347F"/>
    <w:rsid w:val="00A43DED"/>
    <w:rsid w:val="00A440C8"/>
    <w:rsid w:val="00A44127"/>
    <w:rsid w:val="00A44214"/>
    <w:rsid w:val="00A4461B"/>
    <w:rsid w:val="00A4662B"/>
    <w:rsid w:val="00A46776"/>
    <w:rsid w:val="00A46D8B"/>
    <w:rsid w:val="00A46E41"/>
    <w:rsid w:val="00A46FB7"/>
    <w:rsid w:val="00A50B48"/>
    <w:rsid w:val="00A5214C"/>
    <w:rsid w:val="00A52222"/>
    <w:rsid w:val="00A52AA5"/>
    <w:rsid w:val="00A52FF4"/>
    <w:rsid w:val="00A535F3"/>
    <w:rsid w:val="00A53804"/>
    <w:rsid w:val="00A53912"/>
    <w:rsid w:val="00A53C63"/>
    <w:rsid w:val="00A53CCB"/>
    <w:rsid w:val="00A53D8C"/>
    <w:rsid w:val="00A53EC6"/>
    <w:rsid w:val="00A54369"/>
    <w:rsid w:val="00A543FC"/>
    <w:rsid w:val="00A54788"/>
    <w:rsid w:val="00A54815"/>
    <w:rsid w:val="00A54BC8"/>
    <w:rsid w:val="00A54C8A"/>
    <w:rsid w:val="00A5554C"/>
    <w:rsid w:val="00A55746"/>
    <w:rsid w:val="00A55934"/>
    <w:rsid w:val="00A55B7A"/>
    <w:rsid w:val="00A55C0F"/>
    <w:rsid w:val="00A55D33"/>
    <w:rsid w:val="00A55D8C"/>
    <w:rsid w:val="00A570AA"/>
    <w:rsid w:val="00A57796"/>
    <w:rsid w:val="00A6110E"/>
    <w:rsid w:val="00A6149D"/>
    <w:rsid w:val="00A61B54"/>
    <w:rsid w:val="00A62A13"/>
    <w:rsid w:val="00A6324B"/>
    <w:rsid w:val="00A63832"/>
    <w:rsid w:val="00A64064"/>
    <w:rsid w:val="00A650C7"/>
    <w:rsid w:val="00A65D3B"/>
    <w:rsid w:val="00A66D69"/>
    <w:rsid w:val="00A67577"/>
    <w:rsid w:val="00A67714"/>
    <w:rsid w:val="00A67A59"/>
    <w:rsid w:val="00A708D5"/>
    <w:rsid w:val="00A710CC"/>
    <w:rsid w:val="00A710E2"/>
    <w:rsid w:val="00A715BC"/>
    <w:rsid w:val="00A72D14"/>
    <w:rsid w:val="00A73130"/>
    <w:rsid w:val="00A7357A"/>
    <w:rsid w:val="00A736D3"/>
    <w:rsid w:val="00A73884"/>
    <w:rsid w:val="00A738EB"/>
    <w:rsid w:val="00A74C2D"/>
    <w:rsid w:val="00A74F69"/>
    <w:rsid w:val="00A75FC9"/>
    <w:rsid w:val="00A770E1"/>
    <w:rsid w:val="00A770F9"/>
    <w:rsid w:val="00A77358"/>
    <w:rsid w:val="00A77608"/>
    <w:rsid w:val="00A77F8E"/>
    <w:rsid w:val="00A8013A"/>
    <w:rsid w:val="00A805D2"/>
    <w:rsid w:val="00A809C9"/>
    <w:rsid w:val="00A80BB5"/>
    <w:rsid w:val="00A80F7D"/>
    <w:rsid w:val="00A81C0E"/>
    <w:rsid w:val="00A81DB4"/>
    <w:rsid w:val="00A81E01"/>
    <w:rsid w:val="00A8231F"/>
    <w:rsid w:val="00A82573"/>
    <w:rsid w:val="00A828A8"/>
    <w:rsid w:val="00A82BA6"/>
    <w:rsid w:val="00A83308"/>
    <w:rsid w:val="00A835E0"/>
    <w:rsid w:val="00A8421D"/>
    <w:rsid w:val="00A85670"/>
    <w:rsid w:val="00A856D4"/>
    <w:rsid w:val="00A85F3D"/>
    <w:rsid w:val="00A85FA6"/>
    <w:rsid w:val="00A8713F"/>
    <w:rsid w:val="00A90135"/>
    <w:rsid w:val="00A90A94"/>
    <w:rsid w:val="00A90BA1"/>
    <w:rsid w:val="00A90D37"/>
    <w:rsid w:val="00A90FA7"/>
    <w:rsid w:val="00A9122C"/>
    <w:rsid w:val="00A91739"/>
    <w:rsid w:val="00A919BA"/>
    <w:rsid w:val="00A91E64"/>
    <w:rsid w:val="00A92AE2"/>
    <w:rsid w:val="00A92EB2"/>
    <w:rsid w:val="00A93333"/>
    <w:rsid w:val="00A93362"/>
    <w:rsid w:val="00A9351B"/>
    <w:rsid w:val="00A9357F"/>
    <w:rsid w:val="00A936E2"/>
    <w:rsid w:val="00A93CB7"/>
    <w:rsid w:val="00A93EFD"/>
    <w:rsid w:val="00A9409A"/>
    <w:rsid w:val="00A94AB8"/>
    <w:rsid w:val="00A952BF"/>
    <w:rsid w:val="00A95A5F"/>
    <w:rsid w:val="00A95C8D"/>
    <w:rsid w:val="00A96A74"/>
    <w:rsid w:val="00A96EE6"/>
    <w:rsid w:val="00A97054"/>
    <w:rsid w:val="00A9712B"/>
    <w:rsid w:val="00A973FD"/>
    <w:rsid w:val="00A97A7A"/>
    <w:rsid w:val="00A97A9A"/>
    <w:rsid w:val="00AA050E"/>
    <w:rsid w:val="00AA0671"/>
    <w:rsid w:val="00AA0A98"/>
    <w:rsid w:val="00AA0CEF"/>
    <w:rsid w:val="00AA0E69"/>
    <w:rsid w:val="00AA1112"/>
    <w:rsid w:val="00AA1D43"/>
    <w:rsid w:val="00AA2531"/>
    <w:rsid w:val="00AA2751"/>
    <w:rsid w:val="00AA29A7"/>
    <w:rsid w:val="00AA2D97"/>
    <w:rsid w:val="00AA41BF"/>
    <w:rsid w:val="00AA53B7"/>
    <w:rsid w:val="00AA5B36"/>
    <w:rsid w:val="00AA5BA1"/>
    <w:rsid w:val="00AA5FAA"/>
    <w:rsid w:val="00AA6A15"/>
    <w:rsid w:val="00AA6D2F"/>
    <w:rsid w:val="00AB0621"/>
    <w:rsid w:val="00AB08E8"/>
    <w:rsid w:val="00AB14FB"/>
    <w:rsid w:val="00AB1B70"/>
    <w:rsid w:val="00AB1E09"/>
    <w:rsid w:val="00AB281C"/>
    <w:rsid w:val="00AB2A57"/>
    <w:rsid w:val="00AB2B91"/>
    <w:rsid w:val="00AB3359"/>
    <w:rsid w:val="00AB3CC4"/>
    <w:rsid w:val="00AB403C"/>
    <w:rsid w:val="00AB45A4"/>
    <w:rsid w:val="00AB4748"/>
    <w:rsid w:val="00AB484A"/>
    <w:rsid w:val="00AB5330"/>
    <w:rsid w:val="00AB53D4"/>
    <w:rsid w:val="00AB5D8D"/>
    <w:rsid w:val="00AB5F4A"/>
    <w:rsid w:val="00AB633C"/>
    <w:rsid w:val="00AB6391"/>
    <w:rsid w:val="00AB65BE"/>
    <w:rsid w:val="00AB69B7"/>
    <w:rsid w:val="00AB6DD3"/>
    <w:rsid w:val="00AB7377"/>
    <w:rsid w:val="00AB751F"/>
    <w:rsid w:val="00AB7747"/>
    <w:rsid w:val="00AC04B0"/>
    <w:rsid w:val="00AC04D9"/>
    <w:rsid w:val="00AC0684"/>
    <w:rsid w:val="00AC111D"/>
    <w:rsid w:val="00AC111F"/>
    <w:rsid w:val="00AC14AD"/>
    <w:rsid w:val="00AC14CE"/>
    <w:rsid w:val="00AC23D8"/>
    <w:rsid w:val="00AC2A56"/>
    <w:rsid w:val="00AC3563"/>
    <w:rsid w:val="00AC38B4"/>
    <w:rsid w:val="00AC3CFE"/>
    <w:rsid w:val="00AC58B0"/>
    <w:rsid w:val="00AC67BB"/>
    <w:rsid w:val="00AC68CC"/>
    <w:rsid w:val="00AC7262"/>
    <w:rsid w:val="00AC7446"/>
    <w:rsid w:val="00AD055E"/>
    <w:rsid w:val="00AD0C45"/>
    <w:rsid w:val="00AD1505"/>
    <w:rsid w:val="00AD18A3"/>
    <w:rsid w:val="00AD1B28"/>
    <w:rsid w:val="00AD2371"/>
    <w:rsid w:val="00AD2ED3"/>
    <w:rsid w:val="00AD3112"/>
    <w:rsid w:val="00AD3470"/>
    <w:rsid w:val="00AD44FB"/>
    <w:rsid w:val="00AD47A7"/>
    <w:rsid w:val="00AD4828"/>
    <w:rsid w:val="00AD4CE0"/>
    <w:rsid w:val="00AD4F73"/>
    <w:rsid w:val="00AD58A8"/>
    <w:rsid w:val="00AD6051"/>
    <w:rsid w:val="00AD6332"/>
    <w:rsid w:val="00AD6904"/>
    <w:rsid w:val="00AD6A73"/>
    <w:rsid w:val="00AD6ABA"/>
    <w:rsid w:val="00AD6EE2"/>
    <w:rsid w:val="00AD719B"/>
    <w:rsid w:val="00AE023A"/>
    <w:rsid w:val="00AE0259"/>
    <w:rsid w:val="00AE08EC"/>
    <w:rsid w:val="00AE0D04"/>
    <w:rsid w:val="00AE0EE1"/>
    <w:rsid w:val="00AE116F"/>
    <w:rsid w:val="00AE1A89"/>
    <w:rsid w:val="00AE2B11"/>
    <w:rsid w:val="00AE360E"/>
    <w:rsid w:val="00AE36E6"/>
    <w:rsid w:val="00AE3AC9"/>
    <w:rsid w:val="00AE3C84"/>
    <w:rsid w:val="00AE48EE"/>
    <w:rsid w:val="00AE4D2D"/>
    <w:rsid w:val="00AE528A"/>
    <w:rsid w:val="00AE5559"/>
    <w:rsid w:val="00AE5B4C"/>
    <w:rsid w:val="00AE5BF1"/>
    <w:rsid w:val="00AE5EEE"/>
    <w:rsid w:val="00AE66D7"/>
    <w:rsid w:val="00AE7F82"/>
    <w:rsid w:val="00AF0675"/>
    <w:rsid w:val="00AF08EB"/>
    <w:rsid w:val="00AF0B65"/>
    <w:rsid w:val="00AF0CBF"/>
    <w:rsid w:val="00AF10A8"/>
    <w:rsid w:val="00AF18CD"/>
    <w:rsid w:val="00AF1904"/>
    <w:rsid w:val="00AF2343"/>
    <w:rsid w:val="00AF257F"/>
    <w:rsid w:val="00AF25F6"/>
    <w:rsid w:val="00AF26A3"/>
    <w:rsid w:val="00AF2BC3"/>
    <w:rsid w:val="00AF2E33"/>
    <w:rsid w:val="00AF33CF"/>
    <w:rsid w:val="00AF3D0B"/>
    <w:rsid w:val="00AF4145"/>
    <w:rsid w:val="00AF4304"/>
    <w:rsid w:val="00AF4364"/>
    <w:rsid w:val="00AF4BA2"/>
    <w:rsid w:val="00AF4D50"/>
    <w:rsid w:val="00AF6179"/>
    <w:rsid w:val="00AF6416"/>
    <w:rsid w:val="00AF6625"/>
    <w:rsid w:val="00AF68B8"/>
    <w:rsid w:val="00AF6B4C"/>
    <w:rsid w:val="00AF71CE"/>
    <w:rsid w:val="00AF74B0"/>
    <w:rsid w:val="00AF763F"/>
    <w:rsid w:val="00AF79C3"/>
    <w:rsid w:val="00AF7EF8"/>
    <w:rsid w:val="00B002D8"/>
    <w:rsid w:val="00B00AD2"/>
    <w:rsid w:val="00B00D9D"/>
    <w:rsid w:val="00B0151D"/>
    <w:rsid w:val="00B01826"/>
    <w:rsid w:val="00B02333"/>
    <w:rsid w:val="00B02BD4"/>
    <w:rsid w:val="00B02DAB"/>
    <w:rsid w:val="00B03E39"/>
    <w:rsid w:val="00B045AF"/>
    <w:rsid w:val="00B046B0"/>
    <w:rsid w:val="00B04C72"/>
    <w:rsid w:val="00B05260"/>
    <w:rsid w:val="00B059AE"/>
    <w:rsid w:val="00B05FFE"/>
    <w:rsid w:val="00B0608B"/>
    <w:rsid w:val="00B067E5"/>
    <w:rsid w:val="00B06E2B"/>
    <w:rsid w:val="00B07611"/>
    <w:rsid w:val="00B07768"/>
    <w:rsid w:val="00B1045A"/>
    <w:rsid w:val="00B10626"/>
    <w:rsid w:val="00B10C50"/>
    <w:rsid w:val="00B10CDB"/>
    <w:rsid w:val="00B10D7D"/>
    <w:rsid w:val="00B10DFE"/>
    <w:rsid w:val="00B10F43"/>
    <w:rsid w:val="00B1102B"/>
    <w:rsid w:val="00B1295A"/>
    <w:rsid w:val="00B12E0A"/>
    <w:rsid w:val="00B13774"/>
    <w:rsid w:val="00B1381E"/>
    <w:rsid w:val="00B1463E"/>
    <w:rsid w:val="00B14777"/>
    <w:rsid w:val="00B14C2D"/>
    <w:rsid w:val="00B1505A"/>
    <w:rsid w:val="00B15382"/>
    <w:rsid w:val="00B15955"/>
    <w:rsid w:val="00B16935"/>
    <w:rsid w:val="00B16F21"/>
    <w:rsid w:val="00B171C4"/>
    <w:rsid w:val="00B1746B"/>
    <w:rsid w:val="00B17514"/>
    <w:rsid w:val="00B176B1"/>
    <w:rsid w:val="00B2037E"/>
    <w:rsid w:val="00B204FE"/>
    <w:rsid w:val="00B2058E"/>
    <w:rsid w:val="00B20666"/>
    <w:rsid w:val="00B20A45"/>
    <w:rsid w:val="00B20B3B"/>
    <w:rsid w:val="00B20E1D"/>
    <w:rsid w:val="00B20EC6"/>
    <w:rsid w:val="00B21624"/>
    <w:rsid w:val="00B2190B"/>
    <w:rsid w:val="00B22AC0"/>
    <w:rsid w:val="00B22C5C"/>
    <w:rsid w:val="00B2326E"/>
    <w:rsid w:val="00B24152"/>
    <w:rsid w:val="00B24334"/>
    <w:rsid w:val="00B245DF"/>
    <w:rsid w:val="00B247DF"/>
    <w:rsid w:val="00B24C65"/>
    <w:rsid w:val="00B24F30"/>
    <w:rsid w:val="00B25C9F"/>
    <w:rsid w:val="00B27B6D"/>
    <w:rsid w:val="00B27DAC"/>
    <w:rsid w:val="00B27F87"/>
    <w:rsid w:val="00B30D68"/>
    <w:rsid w:val="00B31A42"/>
    <w:rsid w:val="00B31ABF"/>
    <w:rsid w:val="00B31C6E"/>
    <w:rsid w:val="00B325CE"/>
    <w:rsid w:val="00B330A6"/>
    <w:rsid w:val="00B33865"/>
    <w:rsid w:val="00B33BE3"/>
    <w:rsid w:val="00B33F59"/>
    <w:rsid w:val="00B345EA"/>
    <w:rsid w:val="00B34C05"/>
    <w:rsid w:val="00B35A7F"/>
    <w:rsid w:val="00B35B09"/>
    <w:rsid w:val="00B35BBF"/>
    <w:rsid w:val="00B35F67"/>
    <w:rsid w:val="00B35F6C"/>
    <w:rsid w:val="00B36357"/>
    <w:rsid w:val="00B36852"/>
    <w:rsid w:val="00B36BB0"/>
    <w:rsid w:val="00B36D68"/>
    <w:rsid w:val="00B37100"/>
    <w:rsid w:val="00B37165"/>
    <w:rsid w:val="00B37395"/>
    <w:rsid w:val="00B37493"/>
    <w:rsid w:val="00B37E34"/>
    <w:rsid w:val="00B400F7"/>
    <w:rsid w:val="00B401C7"/>
    <w:rsid w:val="00B40C6F"/>
    <w:rsid w:val="00B4174B"/>
    <w:rsid w:val="00B4197D"/>
    <w:rsid w:val="00B41F4F"/>
    <w:rsid w:val="00B41FD0"/>
    <w:rsid w:val="00B42153"/>
    <w:rsid w:val="00B42259"/>
    <w:rsid w:val="00B423B3"/>
    <w:rsid w:val="00B42783"/>
    <w:rsid w:val="00B42E84"/>
    <w:rsid w:val="00B442DA"/>
    <w:rsid w:val="00B442E9"/>
    <w:rsid w:val="00B443A4"/>
    <w:rsid w:val="00B4471B"/>
    <w:rsid w:val="00B45684"/>
    <w:rsid w:val="00B45E83"/>
    <w:rsid w:val="00B460EF"/>
    <w:rsid w:val="00B46436"/>
    <w:rsid w:val="00B46469"/>
    <w:rsid w:val="00B466C1"/>
    <w:rsid w:val="00B46EBD"/>
    <w:rsid w:val="00B47989"/>
    <w:rsid w:val="00B50200"/>
    <w:rsid w:val="00B505EF"/>
    <w:rsid w:val="00B5090D"/>
    <w:rsid w:val="00B50CA3"/>
    <w:rsid w:val="00B50E7D"/>
    <w:rsid w:val="00B50FFD"/>
    <w:rsid w:val="00B51092"/>
    <w:rsid w:val="00B51747"/>
    <w:rsid w:val="00B51CF3"/>
    <w:rsid w:val="00B51DC1"/>
    <w:rsid w:val="00B51E3E"/>
    <w:rsid w:val="00B523EB"/>
    <w:rsid w:val="00B52434"/>
    <w:rsid w:val="00B52736"/>
    <w:rsid w:val="00B52B35"/>
    <w:rsid w:val="00B53B5D"/>
    <w:rsid w:val="00B53BB2"/>
    <w:rsid w:val="00B53C12"/>
    <w:rsid w:val="00B53EE6"/>
    <w:rsid w:val="00B53F4B"/>
    <w:rsid w:val="00B54ABC"/>
    <w:rsid w:val="00B54D1E"/>
    <w:rsid w:val="00B54E6F"/>
    <w:rsid w:val="00B550C6"/>
    <w:rsid w:val="00B5631A"/>
    <w:rsid w:val="00B6055E"/>
    <w:rsid w:val="00B61014"/>
    <w:rsid w:val="00B61292"/>
    <w:rsid w:val="00B61A0C"/>
    <w:rsid w:val="00B61BE6"/>
    <w:rsid w:val="00B61E93"/>
    <w:rsid w:val="00B61EEC"/>
    <w:rsid w:val="00B62326"/>
    <w:rsid w:val="00B625E5"/>
    <w:rsid w:val="00B6317D"/>
    <w:rsid w:val="00B63391"/>
    <w:rsid w:val="00B64B2D"/>
    <w:rsid w:val="00B65659"/>
    <w:rsid w:val="00B66255"/>
    <w:rsid w:val="00B66805"/>
    <w:rsid w:val="00B66A23"/>
    <w:rsid w:val="00B66F54"/>
    <w:rsid w:val="00B67225"/>
    <w:rsid w:val="00B67798"/>
    <w:rsid w:val="00B67E7D"/>
    <w:rsid w:val="00B7089C"/>
    <w:rsid w:val="00B71E1C"/>
    <w:rsid w:val="00B71F57"/>
    <w:rsid w:val="00B726A2"/>
    <w:rsid w:val="00B7282C"/>
    <w:rsid w:val="00B72AE8"/>
    <w:rsid w:val="00B7308E"/>
    <w:rsid w:val="00B74143"/>
    <w:rsid w:val="00B74CEE"/>
    <w:rsid w:val="00B74F04"/>
    <w:rsid w:val="00B74F83"/>
    <w:rsid w:val="00B7544F"/>
    <w:rsid w:val="00B759E4"/>
    <w:rsid w:val="00B7670C"/>
    <w:rsid w:val="00B76D4D"/>
    <w:rsid w:val="00B77233"/>
    <w:rsid w:val="00B7723F"/>
    <w:rsid w:val="00B777BE"/>
    <w:rsid w:val="00B80534"/>
    <w:rsid w:val="00B80B42"/>
    <w:rsid w:val="00B80DCB"/>
    <w:rsid w:val="00B80ED6"/>
    <w:rsid w:val="00B81079"/>
    <w:rsid w:val="00B81223"/>
    <w:rsid w:val="00B81469"/>
    <w:rsid w:val="00B8154A"/>
    <w:rsid w:val="00B81AD8"/>
    <w:rsid w:val="00B8245B"/>
    <w:rsid w:val="00B825FF"/>
    <w:rsid w:val="00B82EE7"/>
    <w:rsid w:val="00B83699"/>
    <w:rsid w:val="00B83770"/>
    <w:rsid w:val="00B837DC"/>
    <w:rsid w:val="00B83AE6"/>
    <w:rsid w:val="00B83D35"/>
    <w:rsid w:val="00B8403A"/>
    <w:rsid w:val="00B842D7"/>
    <w:rsid w:val="00B8433C"/>
    <w:rsid w:val="00B84F30"/>
    <w:rsid w:val="00B85105"/>
    <w:rsid w:val="00B85A81"/>
    <w:rsid w:val="00B85E7A"/>
    <w:rsid w:val="00B86027"/>
    <w:rsid w:val="00B86068"/>
    <w:rsid w:val="00B86B98"/>
    <w:rsid w:val="00B86E18"/>
    <w:rsid w:val="00B87491"/>
    <w:rsid w:val="00B909D4"/>
    <w:rsid w:val="00B90A3B"/>
    <w:rsid w:val="00B90FAC"/>
    <w:rsid w:val="00B914A7"/>
    <w:rsid w:val="00B9186D"/>
    <w:rsid w:val="00B91F8C"/>
    <w:rsid w:val="00B9255D"/>
    <w:rsid w:val="00B92BDD"/>
    <w:rsid w:val="00B92E7B"/>
    <w:rsid w:val="00B9317E"/>
    <w:rsid w:val="00B93922"/>
    <w:rsid w:val="00B93B59"/>
    <w:rsid w:val="00B93BF7"/>
    <w:rsid w:val="00B9420E"/>
    <w:rsid w:val="00B942EA"/>
    <w:rsid w:val="00B95129"/>
    <w:rsid w:val="00B95895"/>
    <w:rsid w:val="00B95C46"/>
    <w:rsid w:val="00B967F9"/>
    <w:rsid w:val="00B97070"/>
    <w:rsid w:val="00B97338"/>
    <w:rsid w:val="00B97ED5"/>
    <w:rsid w:val="00BA0075"/>
    <w:rsid w:val="00BA06F7"/>
    <w:rsid w:val="00BA07D7"/>
    <w:rsid w:val="00BA16A3"/>
    <w:rsid w:val="00BA178B"/>
    <w:rsid w:val="00BA29E9"/>
    <w:rsid w:val="00BA2BAC"/>
    <w:rsid w:val="00BA2E93"/>
    <w:rsid w:val="00BA3048"/>
    <w:rsid w:val="00BA381F"/>
    <w:rsid w:val="00BA3AB3"/>
    <w:rsid w:val="00BA3F31"/>
    <w:rsid w:val="00BA4FEA"/>
    <w:rsid w:val="00BA593C"/>
    <w:rsid w:val="00BA5E0C"/>
    <w:rsid w:val="00BA6113"/>
    <w:rsid w:val="00BA61BA"/>
    <w:rsid w:val="00BA64D5"/>
    <w:rsid w:val="00BA65E4"/>
    <w:rsid w:val="00BA6D25"/>
    <w:rsid w:val="00BA707E"/>
    <w:rsid w:val="00BA70BD"/>
    <w:rsid w:val="00BA7142"/>
    <w:rsid w:val="00BA76F2"/>
    <w:rsid w:val="00BA7725"/>
    <w:rsid w:val="00BA7C63"/>
    <w:rsid w:val="00BB01EE"/>
    <w:rsid w:val="00BB054B"/>
    <w:rsid w:val="00BB091B"/>
    <w:rsid w:val="00BB1778"/>
    <w:rsid w:val="00BB237C"/>
    <w:rsid w:val="00BB2A24"/>
    <w:rsid w:val="00BB2BB7"/>
    <w:rsid w:val="00BB3090"/>
    <w:rsid w:val="00BB32D9"/>
    <w:rsid w:val="00BB3306"/>
    <w:rsid w:val="00BB41A3"/>
    <w:rsid w:val="00BB46D2"/>
    <w:rsid w:val="00BB4BF4"/>
    <w:rsid w:val="00BB4C7D"/>
    <w:rsid w:val="00BB5092"/>
    <w:rsid w:val="00BB5A8D"/>
    <w:rsid w:val="00BB6720"/>
    <w:rsid w:val="00BB73DD"/>
    <w:rsid w:val="00BB7BC8"/>
    <w:rsid w:val="00BC132B"/>
    <w:rsid w:val="00BC16BD"/>
    <w:rsid w:val="00BC1DAF"/>
    <w:rsid w:val="00BC28AC"/>
    <w:rsid w:val="00BC29A0"/>
    <w:rsid w:val="00BC32DC"/>
    <w:rsid w:val="00BC35B6"/>
    <w:rsid w:val="00BC369A"/>
    <w:rsid w:val="00BC36AC"/>
    <w:rsid w:val="00BC3CB8"/>
    <w:rsid w:val="00BC518E"/>
    <w:rsid w:val="00BC547D"/>
    <w:rsid w:val="00BC5A6B"/>
    <w:rsid w:val="00BC5B46"/>
    <w:rsid w:val="00BC5B80"/>
    <w:rsid w:val="00BC6487"/>
    <w:rsid w:val="00BC6B93"/>
    <w:rsid w:val="00BC7B43"/>
    <w:rsid w:val="00BD0335"/>
    <w:rsid w:val="00BD0E9B"/>
    <w:rsid w:val="00BD14C0"/>
    <w:rsid w:val="00BD19D8"/>
    <w:rsid w:val="00BD1B51"/>
    <w:rsid w:val="00BD1F5C"/>
    <w:rsid w:val="00BD2AFB"/>
    <w:rsid w:val="00BD2D72"/>
    <w:rsid w:val="00BD3432"/>
    <w:rsid w:val="00BD37F6"/>
    <w:rsid w:val="00BD3C07"/>
    <w:rsid w:val="00BD3CAC"/>
    <w:rsid w:val="00BD40AD"/>
    <w:rsid w:val="00BD4596"/>
    <w:rsid w:val="00BD4655"/>
    <w:rsid w:val="00BD4BC9"/>
    <w:rsid w:val="00BD5507"/>
    <w:rsid w:val="00BD55B9"/>
    <w:rsid w:val="00BD59E1"/>
    <w:rsid w:val="00BD5CBC"/>
    <w:rsid w:val="00BD5EE7"/>
    <w:rsid w:val="00BD6108"/>
    <w:rsid w:val="00BD6A5F"/>
    <w:rsid w:val="00BD6E3A"/>
    <w:rsid w:val="00BD7645"/>
    <w:rsid w:val="00BD78CD"/>
    <w:rsid w:val="00BD7AC2"/>
    <w:rsid w:val="00BD7C50"/>
    <w:rsid w:val="00BD7D82"/>
    <w:rsid w:val="00BE02A6"/>
    <w:rsid w:val="00BE0547"/>
    <w:rsid w:val="00BE0861"/>
    <w:rsid w:val="00BE0B84"/>
    <w:rsid w:val="00BE1258"/>
    <w:rsid w:val="00BE1405"/>
    <w:rsid w:val="00BE15BA"/>
    <w:rsid w:val="00BE1817"/>
    <w:rsid w:val="00BE27C4"/>
    <w:rsid w:val="00BE312D"/>
    <w:rsid w:val="00BE314B"/>
    <w:rsid w:val="00BE414E"/>
    <w:rsid w:val="00BE4978"/>
    <w:rsid w:val="00BE51C5"/>
    <w:rsid w:val="00BE5817"/>
    <w:rsid w:val="00BE5A0A"/>
    <w:rsid w:val="00BE5BD2"/>
    <w:rsid w:val="00BE65E0"/>
    <w:rsid w:val="00BE66C4"/>
    <w:rsid w:val="00BE6B25"/>
    <w:rsid w:val="00BE6BA0"/>
    <w:rsid w:val="00BE70BC"/>
    <w:rsid w:val="00BE78BD"/>
    <w:rsid w:val="00BF03F6"/>
    <w:rsid w:val="00BF0825"/>
    <w:rsid w:val="00BF0A77"/>
    <w:rsid w:val="00BF18E5"/>
    <w:rsid w:val="00BF1B27"/>
    <w:rsid w:val="00BF1C20"/>
    <w:rsid w:val="00BF1E31"/>
    <w:rsid w:val="00BF368C"/>
    <w:rsid w:val="00BF4DF6"/>
    <w:rsid w:val="00BF5B32"/>
    <w:rsid w:val="00BF6034"/>
    <w:rsid w:val="00BF63F9"/>
    <w:rsid w:val="00BF653D"/>
    <w:rsid w:val="00BF6982"/>
    <w:rsid w:val="00BF7143"/>
    <w:rsid w:val="00BF729D"/>
    <w:rsid w:val="00BF7D7D"/>
    <w:rsid w:val="00BF7E80"/>
    <w:rsid w:val="00C001AA"/>
    <w:rsid w:val="00C009B6"/>
    <w:rsid w:val="00C00BDA"/>
    <w:rsid w:val="00C00D87"/>
    <w:rsid w:val="00C00EE7"/>
    <w:rsid w:val="00C01A1A"/>
    <w:rsid w:val="00C01CB2"/>
    <w:rsid w:val="00C02505"/>
    <w:rsid w:val="00C02559"/>
    <w:rsid w:val="00C0345A"/>
    <w:rsid w:val="00C03C07"/>
    <w:rsid w:val="00C04071"/>
    <w:rsid w:val="00C04B05"/>
    <w:rsid w:val="00C05C4C"/>
    <w:rsid w:val="00C06076"/>
    <w:rsid w:val="00C061F5"/>
    <w:rsid w:val="00C06218"/>
    <w:rsid w:val="00C07257"/>
    <w:rsid w:val="00C073A3"/>
    <w:rsid w:val="00C07C3E"/>
    <w:rsid w:val="00C07D10"/>
    <w:rsid w:val="00C102BD"/>
    <w:rsid w:val="00C104D3"/>
    <w:rsid w:val="00C10578"/>
    <w:rsid w:val="00C1093B"/>
    <w:rsid w:val="00C109F5"/>
    <w:rsid w:val="00C10DF2"/>
    <w:rsid w:val="00C1135F"/>
    <w:rsid w:val="00C12310"/>
    <w:rsid w:val="00C12DD0"/>
    <w:rsid w:val="00C135BC"/>
    <w:rsid w:val="00C13625"/>
    <w:rsid w:val="00C13BE4"/>
    <w:rsid w:val="00C13F13"/>
    <w:rsid w:val="00C13FC9"/>
    <w:rsid w:val="00C140F1"/>
    <w:rsid w:val="00C14661"/>
    <w:rsid w:val="00C14993"/>
    <w:rsid w:val="00C150E5"/>
    <w:rsid w:val="00C15747"/>
    <w:rsid w:val="00C15BCA"/>
    <w:rsid w:val="00C15C95"/>
    <w:rsid w:val="00C15F66"/>
    <w:rsid w:val="00C1622A"/>
    <w:rsid w:val="00C16CB6"/>
    <w:rsid w:val="00C170A9"/>
    <w:rsid w:val="00C172D6"/>
    <w:rsid w:val="00C17D0B"/>
    <w:rsid w:val="00C20D38"/>
    <w:rsid w:val="00C20F3C"/>
    <w:rsid w:val="00C21D82"/>
    <w:rsid w:val="00C21DAA"/>
    <w:rsid w:val="00C22066"/>
    <w:rsid w:val="00C22F43"/>
    <w:rsid w:val="00C2398E"/>
    <w:rsid w:val="00C23AEC"/>
    <w:rsid w:val="00C24C6C"/>
    <w:rsid w:val="00C25276"/>
    <w:rsid w:val="00C255D9"/>
    <w:rsid w:val="00C25887"/>
    <w:rsid w:val="00C2596A"/>
    <w:rsid w:val="00C2704B"/>
    <w:rsid w:val="00C270E8"/>
    <w:rsid w:val="00C27257"/>
    <w:rsid w:val="00C27374"/>
    <w:rsid w:val="00C27537"/>
    <w:rsid w:val="00C277AA"/>
    <w:rsid w:val="00C30BED"/>
    <w:rsid w:val="00C31E91"/>
    <w:rsid w:val="00C31FBA"/>
    <w:rsid w:val="00C328FE"/>
    <w:rsid w:val="00C32928"/>
    <w:rsid w:val="00C329CF"/>
    <w:rsid w:val="00C33507"/>
    <w:rsid w:val="00C33CB9"/>
    <w:rsid w:val="00C34EE1"/>
    <w:rsid w:val="00C3574D"/>
    <w:rsid w:val="00C35797"/>
    <w:rsid w:val="00C35E85"/>
    <w:rsid w:val="00C36190"/>
    <w:rsid w:val="00C3631B"/>
    <w:rsid w:val="00C402B8"/>
    <w:rsid w:val="00C40376"/>
    <w:rsid w:val="00C40FD8"/>
    <w:rsid w:val="00C41102"/>
    <w:rsid w:val="00C41618"/>
    <w:rsid w:val="00C41E66"/>
    <w:rsid w:val="00C42C24"/>
    <w:rsid w:val="00C42C3A"/>
    <w:rsid w:val="00C43C4D"/>
    <w:rsid w:val="00C43F74"/>
    <w:rsid w:val="00C4409D"/>
    <w:rsid w:val="00C44555"/>
    <w:rsid w:val="00C4478E"/>
    <w:rsid w:val="00C44E72"/>
    <w:rsid w:val="00C4501C"/>
    <w:rsid w:val="00C45058"/>
    <w:rsid w:val="00C4537A"/>
    <w:rsid w:val="00C457B1"/>
    <w:rsid w:val="00C45A06"/>
    <w:rsid w:val="00C45C1F"/>
    <w:rsid w:val="00C45C5E"/>
    <w:rsid w:val="00C4610C"/>
    <w:rsid w:val="00C46FC4"/>
    <w:rsid w:val="00C474A4"/>
    <w:rsid w:val="00C47E5B"/>
    <w:rsid w:val="00C5059C"/>
    <w:rsid w:val="00C50E87"/>
    <w:rsid w:val="00C51B9E"/>
    <w:rsid w:val="00C51D69"/>
    <w:rsid w:val="00C51F0D"/>
    <w:rsid w:val="00C520A8"/>
    <w:rsid w:val="00C522A9"/>
    <w:rsid w:val="00C5243F"/>
    <w:rsid w:val="00C52726"/>
    <w:rsid w:val="00C52DC1"/>
    <w:rsid w:val="00C53665"/>
    <w:rsid w:val="00C53D0D"/>
    <w:rsid w:val="00C53DDC"/>
    <w:rsid w:val="00C54834"/>
    <w:rsid w:val="00C54BEB"/>
    <w:rsid w:val="00C553CC"/>
    <w:rsid w:val="00C558CB"/>
    <w:rsid w:val="00C5691E"/>
    <w:rsid w:val="00C56B14"/>
    <w:rsid w:val="00C57190"/>
    <w:rsid w:val="00C57914"/>
    <w:rsid w:val="00C57E76"/>
    <w:rsid w:val="00C60372"/>
    <w:rsid w:val="00C60974"/>
    <w:rsid w:val="00C60D0F"/>
    <w:rsid w:val="00C60DAD"/>
    <w:rsid w:val="00C61117"/>
    <w:rsid w:val="00C61E4B"/>
    <w:rsid w:val="00C61F23"/>
    <w:rsid w:val="00C62224"/>
    <w:rsid w:val="00C637D8"/>
    <w:rsid w:val="00C64069"/>
    <w:rsid w:val="00C64293"/>
    <w:rsid w:val="00C64505"/>
    <w:rsid w:val="00C64ABE"/>
    <w:rsid w:val="00C64BFF"/>
    <w:rsid w:val="00C64D16"/>
    <w:rsid w:val="00C64E7B"/>
    <w:rsid w:val="00C66272"/>
    <w:rsid w:val="00C664DA"/>
    <w:rsid w:val="00C66565"/>
    <w:rsid w:val="00C66B80"/>
    <w:rsid w:val="00C67497"/>
    <w:rsid w:val="00C6784E"/>
    <w:rsid w:val="00C67C60"/>
    <w:rsid w:val="00C67FDD"/>
    <w:rsid w:val="00C704E9"/>
    <w:rsid w:val="00C710F7"/>
    <w:rsid w:val="00C711FF"/>
    <w:rsid w:val="00C71DE2"/>
    <w:rsid w:val="00C723A7"/>
    <w:rsid w:val="00C72E0A"/>
    <w:rsid w:val="00C7384A"/>
    <w:rsid w:val="00C739E6"/>
    <w:rsid w:val="00C73CC2"/>
    <w:rsid w:val="00C73E88"/>
    <w:rsid w:val="00C74DE6"/>
    <w:rsid w:val="00C74E06"/>
    <w:rsid w:val="00C7538D"/>
    <w:rsid w:val="00C7560E"/>
    <w:rsid w:val="00C763C9"/>
    <w:rsid w:val="00C7642F"/>
    <w:rsid w:val="00C76755"/>
    <w:rsid w:val="00C76928"/>
    <w:rsid w:val="00C76F4F"/>
    <w:rsid w:val="00C771FB"/>
    <w:rsid w:val="00C773C8"/>
    <w:rsid w:val="00C80057"/>
    <w:rsid w:val="00C81346"/>
    <w:rsid w:val="00C81501"/>
    <w:rsid w:val="00C815D7"/>
    <w:rsid w:val="00C82232"/>
    <w:rsid w:val="00C82913"/>
    <w:rsid w:val="00C82D93"/>
    <w:rsid w:val="00C82FB7"/>
    <w:rsid w:val="00C84085"/>
    <w:rsid w:val="00C84159"/>
    <w:rsid w:val="00C84416"/>
    <w:rsid w:val="00C8481F"/>
    <w:rsid w:val="00C8497B"/>
    <w:rsid w:val="00C84B66"/>
    <w:rsid w:val="00C84F5A"/>
    <w:rsid w:val="00C85CC2"/>
    <w:rsid w:val="00C862E6"/>
    <w:rsid w:val="00C86311"/>
    <w:rsid w:val="00C86CDD"/>
    <w:rsid w:val="00C873AB"/>
    <w:rsid w:val="00C87739"/>
    <w:rsid w:val="00C901DB"/>
    <w:rsid w:val="00C9028C"/>
    <w:rsid w:val="00C90921"/>
    <w:rsid w:val="00C90932"/>
    <w:rsid w:val="00C90EE8"/>
    <w:rsid w:val="00C90F24"/>
    <w:rsid w:val="00C91F7B"/>
    <w:rsid w:val="00C93334"/>
    <w:rsid w:val="00C94B45"/>
    <w:rsid w:val="00C94E14"/>
    <w:rsid w:val="00C94E85"/>
    <w:rsid w:val="00C94F4E"/>
    <w:rsid w:val="00C94F7F"/>
    <w:rsid w:val="00C94FD8"/>
    <w:rsid w:val="00C968B1"/>
    <w:rsid w:val="00C9696C"/>
    <w:rsid w:val="00C972B1"/>
    <w:rsid w:val="00C975D8"/>
    <w:rsid w:val="00C97602"/>
    <w:rsid w:val="00C97714"/>
    <w:rsid w:val="00CA06C7"/>
    <w:rsid w:val="00CA07E7"/>
    <w:rsid w:val="00CA0C2D"/>
    <w:rsid w:val="00CA0C49"/>
    <w:rsid w:val="00CA1055"/>
    <w:rsid w:val="00CA11EB"/>
    <w:rsid w:val="00CA1392"/>
    <w:rsid w:val="00CA185E"/>
    <w:rsid w:val="00CA1F39"/>
    <w:rsid w:val="00CA27FF"/>
    <w:rsid w:val="00CA2C84"/>
    <w:rsid w:val="00CA2CCE"/>
    <w:rsid w:val="00CA2E0D"/>
    <w:rsid w:val="00CA335B"/>
    <w:rsid w:val="00CA3555"/>
    <w:rsid w:val="00CA41B9"/>
    <w:rsid w:val="00CA437B"/>
    <w:rsid w:val="00CA43FD"/>
    <w:rsid w:val="00CA4C42"/>
    <w:rsid w:val="00CA4F04"/>
    <w:rsid w:val="00CA4F1F"/>
    <w:rsid w:val="00CA595F"/>
    <w:rsid w:val="00CA6563"/>
    <w:rsid w:val="00CA69AE"/>
    <w:rsid w:val="00CA7596"/>
    <w:rsid w:val="00CA7731"/>
    <w:rsid w:val="00CA7EF8"/>
    <w:rsid w:val="00CB08CE"/>
    <w:rsid w:val="00CB0D3E"/>
    <w:rsid w:val="00CB0EB0"/>
    <w:rsid w:val="00CB10D0"/>
    <w:rsid w:val="00CB186B"/>
    <w:rsid w:val="00CB1B2F"/>
    <w:rsid w:val="00CB2092"/>
    <w:rsid w:val="00CB2D45"/>
    <w:rsid w:val="00CB2DFC"/>
    <w:rsid w:val="00CB3917"/>
    <w:rsid w:val="00CB4400"/>
    <w:rsid w:val="00CB47E4"/>
    <w:rsid w:val="00CB4E72"/>
    <w:rsid w:val="00CB5B9E"/>
    <w:rsid w:val="00CB675E"/>
    <w:rsid w:val="00CB6E2C"/>
    <w:rsid w:val="00CB7041"/>
    <w:rsid w:val="00CB7663"/>
    <w:rsid w:val="00CC0988"/>
    <w:rsid w:val="00CC0A21"/>
    <w:rsid w:val="00CC1482"/>
    <w:rsid w:val="00CC1977"/>
    <w:rsid w:val="00CC2084"/>
    <w:rsid w:val="00CC24DD"/>
    <w:rsid w:val="00CC259C"/>
    <w:rsid w:val="00CC2982"/>
    <w:rsid w:val="00CC2B6E"/>
    <w:rsid w:val="00CC2BD1"/>
    <w:rsid w:val="00CC2D19"/>
    <w:rsid w:val="00CC2F74"/>
    <w:rsid w:val="00CC37AA"/>
    <w:rsid w:val="00CC3817"/>
    <w:rsid w:val="00CC38FD"/>
    <w:rsid w:val="00CC3D59"/>
    <w:rsid w:val="00CC400B"/>
    <w:rsid w:val="00CC4583"/>
    <w:rsid w:val="00CC489B"/>
    <w:rsid w:val="00CC5397"/>
    <w:rsid w:val="00CC6172"/>
    <w:rsid w:val="00CC6A8D"/>
    <w:rsid w:val="00CC7AB8"/>
    <w:rsid w:val="00CD07E0"/>
    <w:rsid w:val="00CD15FF"/>
    <w:rsid w:val="00CD18D5"/>
    <w:rsid w:val="00CD1F23"/>
    <w:rsid w:val="00CD2224"/>
    <w:rsid w:val="00CD2257"/>
    <w:rsid w:val="00CD273D"/>
    <w:rsid w:val="00CD2BCD"/>
    <w:rsid w:val="00CD397C"/>
    <w:rsid w:val="00CD3A4C"/>
    <w:rsid w:val="00CD4739"/>
    <w:rsid w:val="00CD4A54"/>
    <w:rsid w:val="00CD4CA6"/>
    <w:rsid w:val="00CD4F12"/>
    <w:rsid w:val="00CD4F24"/>
    <w:rsid w:val="00CD5223"/>
    <w:rsid w:val="00CD5933"/>
    <w:rsid w:val="00CD5C3B"/>
    <w:rsid w:val="00CD5D2F"/>
    <w:rsid w:val="00CD6ED8"/>
    <w:rsid w:val="00CD786E"/>
    <w:rsid w:val="00CD79A8"/>
    <w:rsid w:val="00CD7B98"/>
    <w:rsid w:val="00CE0BF5"/>
    <w:rsid w:val="00CE10AA"/>
    <w:rsid w:val="00CE10D6"/>
    <w:rsid w:val="00CE10E6"/>
    <w:rsid w:val="00CE10E9"/>
    <w:rsid w:val="00CE149D"/>
    <w:rsid w:val="00CE15D5"/>
    <w:rsid w:val="00CE26EC"/>
    <w:rsid w:val="00CE2910"/>
    <w:rsid w:val="00CE29EF"/>
    <w:rsid w:val="00CE2C79"/>
    <w:rsid w:val="00CE3438"/>
    <w:rsid w:val="00CE36BC"/>
    <w:rsid w:val="00CE42BF"/>
    <w:rsid w:val="00CE5393"/>
    <w:rsid w:val="00CE58F4"/>
    <w:rsid w:val="00CE67B4"/>
    <w:rsid w:val="00CE6B0F"/>
    <w:rsid w:val="00CE7649"/>
    <w:rsid w:val="00CE784D"/>
    <w:rsid w:val="00CE79DD"/>
    <w:rsid w:val="00CE7C50"/>
    <w:rsid w:val="00CE7E85"/>
    <w:rsid w:val="00CF178F"/>
    <w:rsid w:val="00CF1803"/>
    <w:rsid w:val="00CF185A"/>
    <w:rsid w:val="00CF1B05"/>
    <w:rsid w:val="00CF2169"/>
    <w:rsid w:val="00CF2603"/>
    <w:rsid w:val="00CF2B26"/>
    <w:rsid w:val="00CF2E76"/>
    <w:rsid w:val="00CF36BE"/>
    <w:rsid w:val="00CF3AAA"/>
    <w:rsid w:val="00CF3C65"/>
    <w:rsid w:val="00CF3FB8"/>
    <w:rsid w:val="00CF4583"/>
    <w:rsid w:val="00CF4B26"/>
    <w:rsid w:val="00CF4CB4"/>
    <w:rsid w:val="00CF503C"/>
    <w:rsid w:val="00CF580A"/>
    <w:rsid w:val="00CF5987"/>
    <w:rsid w:val="00CF5DA5"/>
    <w:rsid w:val="00CF6000"/>
    <w:rsid w:val="00CF69D9"/>
    <w:rsid w:val="00CF72B0"/>
    <w:rsid w:val="00D003F3"/>
    <w:rsid w:val="00D00C4E"/>
    <w:rsid w:val="00D01768"/>
    <w:rsid w:val="00D01A49"/>
    <w:rsid w:val="00D028AF"/>
    <w:rsid w:val="00D0294B"/>
    <w:rsid w:val="00D032E5"/>
    <w:rsid w:val="00D0331E"/>
    <w:rsid w:val="00D0364F"/>
    <w:rsid w:val="00D04969"/>
    <w:rsid w:val="00D04BD1"/>
    <w:rsid w:val="00D062AA"/>
    <w:rsid w:val="00D064D7"/>
    <w:rsid w:val="00D06702"/>
    <w:rsid w:val="00D06834"/>
    <w:rsid w:val="00D07426"/>
    <w:rsid w:val="00D07A3D"/>
    <w:rsid w:val="00D10AA5"/>
    <w:rsid w:val="00D10B26"/>
    <w:rsid w:val="00D11CFE"/>
    <w:rsid w:val="00D11F80"/>
    <w:rsid w:val="00D12B78"/>
    <w:rsid w:val="00D12D11"/>
    <w:rsid w:val="00D13656"/>
    <w:rsid w:val="00D1439C"/>
    <w:rsid w:val="00D151A0"/>
    <w:rsid w:val="00D151F0"/>
    <w:rsid w:val="00D15691"/>
    <w:rsid w:val="00D158BC"/>
    <w:rsid w:val="00D15CC5"/>
    <w:rsid w:val="00D15E44"/>
    <w:rsid w:val="00D1657D"/>
    <w:rsid w:val="00D166D3"/>
    <w:rsid w:val="00D1720A"/>
    <w:rsid w:val="00D17B5D"/>
    <w:rsid w:val="00D17BB9"/>
    <w:rsid w:val="00D20674"/>
    <w:rsid w:val="00D208A5"/>
    <w:rsid w:val="00D215F8"/>
    <w:rsid w:val="00D219FE"/>
    <w:rsid w:val="00D21AEA"/>
    <w:rsid w:val="00D22D9F"/>
    <w:rsid w:val="00D23AB1"/>
    <w:rsid w:val="00D2419C"/>
    <w:rsid w:val="00D249DB"/>
    <w:rsid w:val="00D24A28"/>
    <w:rsid w:val="00D24C14"/>
    <w:rsid w:val="00D24EC6"/>
    <w:rsid w:val="00D2500F"/>
    <w:rsid w:val="00D25405"/>
    <w:rsid w:val="00D255D7"/>
    <w:rsid w:val="00D2701C"/>
    <w:rsid w:val="00D277E3"/>
    <w:rsid w:val="00D3058E"/>
    <w:rsid w:val="00D308ED"/>
    <w:rsid w:val="00D309C8"/>
    <w:rsid w:val="00D30C0D"/>
    <w:rsid w:val="00D30E44"/>
    <w:rsid w:val="00D31260"/>
    <w:rsid w:val="00D31F5D"/>
    <w:rsid w:val="00D3235A"/>
    <w:rsid w:val="00D323A3"/>
    <w:rsid w:val="00D324E1"/>
    <w:rsid w:val="00D332C4"/>
    <w:rsid w:val="00D332FC"/>
    <w:rsid w:val="00D346AD"/>
    <w:rsid w:val="00D34B78"/>
    <w:rsid w:val="00D34DB5"/>
    <w:rsid w:val="00D35C33"/>
    <w:rsid w:val="00D36666"/>
    <w:rsid w:val="00D36D86"/>
    <w:rsid w:val="00D36DF5"/>
    <w:rsid w:val="00D3704E"/>
    <w:rsid w:val="00D3723D"/>
    <w:rsid w:val="00D374FC"/>
    <w:rsid w:val="00D3779A"/>
    <w:rsid w:val="00D37B19"/>
    <w:rsid w:val="00D37BC3"/>
    <w:rsid w:val="00D405F6"/>
    <w:rsid w:val="00D40932"/>
    <w:rsid w:val="00D40D29"/>
    <w:rsid w:val="00D41713"/>
    <w:rsid w:val="00D41A1B"/>
    <w:rsid w:val="00D428AA"/>
    <w:rsid w:val="00D437B7"/>
    <w:rsid w:val="00D43AB8"/>
    <w:rsid w:val="00D43CAB"/>
    <w:rsid w:val="00D4403C"/>
    <w:rsid w:val="00D4468A"/>
    <w:rsid w:val="00D47497"/>
    <w:rsid w:val="00D476CF"/>
    <w:rsid w:val="00D47CAA"/>
    <w:rsid w:val="00D5024B"/>
    <w:rsid w:val="00D50A34"/>
    <w:rsid w:val="00D50F10"/>
    <w:rsid w:val="00D517B3"/>
    <w:rsid w:val="00D51F73"/>
    <w:rsid w:val="00D53262"/>
    <w:rsid w:val="00D53343"/>
    <w:rsid w:val="00D53ADF"/>
    <w:rsid w:val="00D53B22"/>
    <w:rsid w:val="00D53EAB"/>
    <w:rsid w:val="00D53EFA"/>
    <w:rsid w:val="00D54D2B"/>
    <w:rsid w:val="00D55617"/>
    <w:rsid w:val="00D559C0"/>
    <w:rsid w:val="00D55D95"/>
    <w:rsid w:val="00D55F6A"/>
    <w:rsid w:val="00D57B22"/>
    <w:rsid w:val="00D57E70"/>
    <w:rsid w:val="00D6027C"/>
    <w:rsid w:val="00D60C98"/>
    <w:rsid w:val="00D611D3"/>
    <w:rsid w:val="00D619DB"/>
    <w:rsid w:val="00D61CE3"/>
    <w:rsid w:val="00D61E79"/>
    <w:rsid w:val="00D625AB"/>
    <w:rsid w:val="00D6274C"/>
    <w:rsid w:val="00D62B16"/>
    <w:rsid w:val="00D62E8F"/>
    <w:rsid w:val="00D631B8"/>
    <w:rsid w:val="00D6354F"/>
    <w:rsid w:val="00D63C1E"/>
    <w:rsid w:val="00D63F23"/>
    <w:rsid w:val="00D6431D"/>
    <w:rsid w:val="00D64E62"/>
    <w:rsid w:val="00D64E9B"/>
    <w:rsid w:val="00D64FDB"/>
    <w:rsid w:val="00D65D4E"/>
    <w:rsid w:val="00D67920"/>
    <w:rsid w:val="00D67B31"/>
    <w:rsid w:val="00D67B97"/>
    <w:rsid w:val="00D67DA0"/>
    <w:rsid w:val="00D70451"/>
    <w:rsid w:val="00D70B62"/>
    <w:rsid w:val="00D70C9C"/>
    <w:rsid w:val="00D714A7"/>
    <w:rsid w:val="00D718AA"/>
    <w:rsid w:val="00D732EB"/>
    <w:rsid w:val="00D7363D"/>
    <w:rsid w:val="00D73762"/>
    <w:rsid w:val="00D73853"/>
    <w:rsid w:val="00D738B3"/>
    <w:rsid w:val="00D73A26"/>
    <w:rsid w:val="00D73CE7"/>
    <w:rsid w:val="00D7401A"/>
    <w:rsid w:val="00D74744"/>
    <w:rsid w:val="00D7510E"/>
    <w:rsid w:val="00D75118"/>
    <w:rsid w:val="00D7569C"/>
    <w:rsid w:val="00D75740"/>
    <w:rsid w:val="00D75934"/>
    <w:rsid w:val="00D75952"/>
    <w:rsid w:val="00D75FA3"/>
    <w:rsid w:val="00D77318"/>
    <w:rsid w:val="00D77D73"/>
    <w:rsid w:val="00D80D11"/>
    <w:rsid w:val="00D818C5"/>
    <w:rsid w:val="00D81D5D"/>
    <w:rsid w:val="00D822EF"/>
    <w:rsid w:val="00D82796"/>
    <w:rsid w:val="00D82A98"/>
    <w:rsid w:val="00D8339E"/>
    <w:rsid w:val="00D834B6"/>
    <w:rsid w:val="00D837AC"/>
    <w:rsid w:val="00D84F45"/>
    <w:rsid w:val="00D851A8"/>
    <w:rsid w:val="00D85309"/>
    <w:rsid w:val="00D8594E"/>
    <w:rsid w:val="00D8619D"/>
    <w:rsid w:val="00D8652F"/>
    <w:rsid w:val="00D86C4A"/>
    <w:rsid w:val="00D86CCE"/>
    <w:rsid w:val="00D86E11"/>
    <w:rsid w:val="00D86F43"/>
    <w:rsid w:val="00D87176"/>
    <w:rsid w:val="00D87A4B"/>
    <w:rsid w:val="00D87A8D"/>
    <w:rsid w:val="00D90191"/>
    <w:rsid w:val="00D91057"/>
    <w:rsid w:val="00D921DD"/>
    <w:rsid w:val="00D92591"/>
    <w:rsid w:val="00D92672"/>
    <w:rsid w:val="00D93717"/>
    <w:rsid w:val="00D93DBF"/>
    <w:rsid w:val="00D9416A"/>
    <w:rsid w:val="00D9430C"/>
    <w:rsid w:val="00D949B4"/>
    <w:rsid w:val="00D94A7C"/>
    <w:rsid w:val="00D94C0B"/>
    <w:rsid w:val="00D94C0E"/>
    <w:rsid w:val="00D94C83"/>
    <w:rsid w:val="00D94D4B"/>
    <w:rsid w:val="00D9532D"/>
    <w:rsid w:val="00D95896"/>
    <w:rsid w:val="00D959BA"/>
    <w:rsid w:val="00D9600D"/>
    <w:rsid w:val="00D97648"/>
    <w:rsid w:val="00D977E6"/>
    <w:rsid w:val="00DA01E5"/>
    <w:rsid w:val="00DA093E"/>
    <w:rsid w:val="00DA0B4D"/>
    <w:rsid w:val="00DA0D55"/>
    <w:rsid w:val="00DA1A5E"/>
    <w:rsid w:val="00DA24E7"/>
    <w:rsid w:val="00DA2512"/>
    <w:rsid w:val="00DA395A"/>
    <w:rsid w:val="00DA4070"/>
    <w:rsid w:val="00DA4136"/>
    <w:rsid w:val="00DA50A3"/>
    <w:rsid w:val="00DA60F3"/>
    <w:rsid w:val="00DA6110"/>
    <w:rsid w:val="00DA65E4"/>
    <w:rsid w:val="00DA6DF5"/>
    <w:rsid w:val="00DA774E"/>
    <w:rsid w:val="00DA77FE"/>
    <w:rsid w:val="00DB0E5D"/>
    <w:rsid w:val="00DB0E6F"/>
    <w:rsid w:val="00DB171A"/>
    <w:rsid w:val="00DB17B9"/>
    <w:rsid w:val="00DB1B1F"/>
    <w:rsid w:val="00DB2983"/>
    <w:rsid w:val="00DB324C"/>
    <w:rsid w:val="00DB341A"/>
    <w:rsid w:val="00DB39F8"/>
    <w:rsid w:val="00DB3BCA"/>
    <w:rsid w:val="00DB4261"/>
    <w:rsid w:val="00DB437D"/>
    <w:rsid w:val="00DB446F"/>
    <w:rsid w:val="00DB4A2C"/>
    <w:rsid w:val="00DB57D1"/>
    <w:rsid w:val="00DB60F1"/>
    <w:rsid w:val="00DB6646"/>
    <w:rsid w:val="00DB6698"/>
    <w:rsid w:val="00DB68F0"/>
    <w:rsid w:val="00DB6CA0"/>
    <w:rsid w:val="00DB71A4"/>
    <w:rsid w:val="00DB73F9"/>
    <w:rsid w:val="00DB742B"/>
    <w:rsid w:val="00DB7E49"/>
    <w:rsid w:val="00DB7FED"/>
    <w:rsid w:val="00DC0069"/>
    <w:rsid w:val="00DC0897"/>
    <w:rsid w:val="00DC1257"/>
    <w:rsid w:val="00DC2327"/>
    <w:rsid w:val="00DC24ED"/>
    <w:rsid w:val="00DC2871"/>
    <w:rsid w:val="00DC2951"/>
    <w:rsid w:val="00DC30AF"/>
    <w:rsid w:val="00DC35BD"/>
    <w:rsid w:val="00DC3DC0"/>
    <w:rsid w:val="00DC41B0"/>
    <w:rsid w:val="00DC4F30"/>
    <w:rsid w:val="00DC4F39"/>
    <w:rsid w:val="00DC5256"/>
    <w:rsid w:val="00DC5454"/>
    <w:rsid w:val="00DC56EB"/>
    <w:rsid w:val="00DC5B2B"/>
    <w:rsid w:val="00DC5C2C"/>
    <w:rsid w:val="00DC62D9"/>
    <w:rsid w:val="00DC6364"/>
    <w:rsid w:val="00DC73AD"/>
    <w:rsid w:val="00DC73F1"/>
    <w:rsid w:val="00DD0161"/>
    <w:rsid w:val="00DD01ED"/>
    <w:rsid w:val="00DD1080"/>
    <w:rsid w:val="00DD11BE"/>
    <w:rsid w:val="00DD1725"/>
    <w:rsid w:val="00DD2445"/>
    <w:rsid w:val="00DD318D"/>
    <w:rsid w:val="00DD3BFC"/>
    <w:rsid w:val="00DD4205"/>
    <w:rsid w:val="00DD4531"/>
    <w:rsid w:val="00DD47AE"/>
    <w:rsid w:val="00DD49EB"/>
    <w:rsid w:val="00DD56E6"/>
    <w:rsid w:val="00DD5D26"/>
    <w:rsid w:val="00DD671D"/>
    <w:rsid w:val="00DE03A0"/>
    <w:rsid w:val="00DE091B"/>
    <w:rsid w:val="00DE0C89"/>
    <w:rsid w:val="00DE0F24"/>
    <w:rsid w:val="00DE2888"/>
    <w:rsid w:val="00DE2F7C"/>
    <w:rsid w:val="00DE2FA5"/>
    <w:rsid w:val="00DE3E4D"/>
    <w:rsid w:val="00DE4559"/>
    <w:rsid w:val="00DE4813"/>
    <w:rsid w:val="00DE4880"/>
    <w:rsid w:val="00DE4BD2"/>
    <w:rsid w:val="00DE4C60"/>
    <w:rsid w:val="00DE51E5"/>
    <w:rsid w:val="00DE5780"/>
    <w:rsid w:val="00DE5A1F"/>
    <w:rsid w:val="00DE7658"/>
    <w:rsid w:val="00DF043D"/>
    <w:rsid w:val="00DF05E5"/>
    <w:rsid w:val="00DF0AEB"/>
    <w:rsid w:val="00DF0C29"/>
    <w:rsid w:val="00DF0C77"/>
    <w:rsid w:val="00DF1222"/>
    <w:rsid w:val="00DF1859"/>
    <w:rsid w:val="00DF2BF2"/>
    <w:rsid w:val="00DF2E12"/>
    <w:rsid w:val="00DF2EEC"/>
    <w:rsid w:val="00DF32C1"/>
    <w:rsid w:val="00DF36AD"/>
    <w:rsid w:val="00DF3B3F"/>
    <w:rsid w:val="00DF3BA5"/>
    <w:rsid w:val="00DF3CA5"/>
    <w:rsid w:val="00DF3FBB"/>
    <w:rsid w:val="00DF465E"/>
    <w:rsid w:val="00DF514A"/>
    <w:rsid w:val="00DF6479"/>
    <w:rsid w:val="00DF6531"/>
    <w:rsid w:val="00DF6690"/>
    <w:rsid w:val="00DF6804"/>
    <w:rsid w:val="00DF6ADE"/>
    <w:rsid w:val="00DF72DD"/>
    <w:rsid w:val="00DF7875"/>
    <w:rsid w:val="00E00339"/>
    <w:rsid w:val="00E00A99"/>
    <w:rsid w:val="00E01BE3"/>
    <w:rsid w:val="00E01DD1"/>
    <w:rsid w:val="00E026C1"/>
    <w:rsid w:val="00E0275A"/>
    <w:rsid w:val="00E02782"/>
    <w:rsid w:val="00E02EAD"/>
    <w:rsid w:val="00E0305B"/>
    <w:rsid w:val="00E0358D"/>
    <w:rsid w:val="00E03851"/>
    <w:rsid w:val="00E04323"/>
    <w:rsid w:val="00E05045"/>
    <w:rsid w:val="00E0511F"/>
    <w:rsid w:val="00E05619"/>
    <w:rsid w:val="00E05B1B"/>
    <w:rsid w:val="00E05B93"/>
    <w:rsid w:val="00E0625C"/>
    <w:rsid w:val="00E0665F"/>
    <w:rsid w:val="00E06AF1"/>
    <w:rsid w:val="00E06BBC"/>
    <w:rsid w:val="00E06CBF"/>
    <w:rsid w:val="00E070A2"/>
    <w:rsid w:val="00E070F6"/>
    <w:rsid w:val="00E0722D"/>
    <w:rsid w:val="00E07A47"/>
    <w:rsid w:val="00E1077C"/>
    <w:rsid w:val="00E10F85"/>
    <w:rsid w:val="00E1106F"/>
    <w:rsid w:val="00E11FDC"/>
    <w:rsid w:val="00E1219A"/>
    <w:rsid w:val="00E122CA"/>
    <w:rsid w:val="00E123C1"/>
    <w:rsid w:val="00E12759"/>
    <w:rsid w:val="00E12A62"/>
    <w:rsid w:val="00E12AD9"/>
    <w:rsid w:val="00E12BB1"/>
    <w:rsid w:val="00E131B0"/>
    <w:rsid w:val="00E131B4"/>
    <w:rsid w:val="00E13757"/>
    <w:rsid w:val="00E140E2"/>
    <w:rsid w:val="00E14C61"/>
    <w:rsid w:val="00E150B5"/>
    <w:rsid w:val="00E158FA"/>
    <w:rsid w:val="00E15B7D"/>
    <w:rsid w:val="00E15DF9"/>
    <w:rsid w:val="00E15F8B"/>
    <w:rsid w:val="00E16B11"/>
    <w:rsid w:val="00E16C9E"/>
    <w:rsid w:val="00E1720F"/>
    <w:rsid w:val="00E1789D"/>
    <w:rsid w:val="00E17915"/>
    <w:rsid w:val="00E211C3"/>
    <w:rsid w:val="00E2184E"/>
    <w:rsid w:val="00E21ECA"/>
    <w:rsid w:val="00E2286E"/>
    <w:rsid w:val="00E232A3"/>
    <w:rsid w:val="00E23AA4"/>
    <w:rsid w:val="00E25213"/>
    <w:rsid w:val="00E25224"/>
    <w:rsid w:val="00E2536D"/>
    <w:rsid w:val="00E2656A"/>
    <w:rsid w:val="00E31125"/>
    <w:rsid w:val="00E31B59"/>
    <w:rsid w:val="00E3217F"/>
    <w:rsid w:val="00E33002"/>
    <w:rsid w:val="00E33E4C"/>
    <w:rsid w:val="00E33FA5"/>
    <w:rsid w:val="00E3461B"/>
    <w:rsid w:val="00E3461D"/>
    <w:rsid w:val="00E346F3"/>
    <w:rsid w:val="00E348F4"/>
    <w:rsid w:val="00E34E6E"/>
    <w:rsid w:val="00E34FBE"/>
    <w:rsid w:val="00E35130"/>
    <w:rsid w:val="00E366D8"/>
    <w:rsid w:val="00E36A00"/>
    <w:rsid w:val="00E36C37"/>
    <w:rsid w:val="00E37049"/>
    <w:rsid w:val="00E4037A"/>
    <w:rsid w:val="00E4044D"/>
    <w:rsid w:val="00E407B0"/>
    <w:rsid w:val="00E412D0"/>
    <w:rsid w:val="00E41CD0"/>
    <w:rsid w:val="00E41EF5"/>
    <w:rsid w:val="00E43605"/>
    <w:rsid w:val="00E4369F"/>
    <w:rsid w:val="00E43E3A"/>
    <w:rsid w:val="00E44038"/>
    <w:rsid w:val="00E44596"/>
    <w:rsid w:val="00E453EF"/>
    <w:rsid w:val="00E4652F"/>
    <w:rsid w:val="00E465ED"/>
    <w:rsid w:val="00E4714A"/>
    <w:rsid w:val="00E501A7"/>
    <w:rsid w:val="00E50AED"/>
    <w:rsid w:val="00E51709"/>
    <w:rsid w:val="00E522DC"/>
    <w:rsid w:val="00E52696"/>
    <w:rsid w:val="00E5333D"/>
    <w:rsid w:val="00E537A3"/>
    <w:rsid w:val="00E55BB7"/>
    <w:rsid w:val="00E55F3B"/>
    <w:rsid w:val="00E56322"/>
    <w:rsid w:val="00E57E8C"/>
    <w:rsid w:val="00E60105"/>
    <w:rsid w:val="00E60335"/>
    <w:rsid w:val="00E60373"/>
    <w:rsid w:val="00E603DC"/>
    <w:rsid w:val="00E60982"/>
    <w:rsid w:val="00E60C0A"/>
    <w:rsid w:val="00E61652"/>
    <w:rsid w:val="00E6187C"/>
    <w:rsid w:val="00E619ED"/>
    <w:rsid w:val="00E62267"/>
    <w:rsid w:val="00E622DC"/>
    <w:rsid w:val="00E62428"/>
    <w:rsid w:val="00E625AD"/>
    <w:rsid w:val="00E628D9"/>
    <w:rsid w:val="00E62C62"/>
    <w:rsid w:val="00E63CA4"/>
    <w:rsid w:val="00E65401"/>
    <w:rsid w:val="00E654C1"/>
    <w:rsid w:val="00E6551D"/>
    <w:rsid w:val="00E655F6"/>
    <w:rsid w:val="00E65A28"/>
    <w:rsid w:val="00E65A76"/>
    <w:rsid w:val="00E65D97"/>
    <w:rsid w:val="00E66014"/>
    <w:rsid w:val="00E66274"/>
    <w:rsid w:val="00E664EE"/>
    <w:rsid w:val="00E667B8"/>
    <w:rsid w:val="00E668FB"/>
    <w:rsid w:val="00E66B6A"/>
    <w:rsid w:val="00E66BE2"/>
    <w:rsid w:val="00E66F39"/>
    <w:rsid w:val="00E70358"/>
    <w:rsid w:val="00E7127F"/>
    <w:rsid w:val="00E716A9"/>
    <w:rsid w:val="00E71981"/>
    <w:rsid w:val="00E71C01"/>
    <w:rsid w:val="00E71CFB"/>
    <w:rsid w:val="00E72388"/>
    <w:rsid w:val="00E725B0"/>
    <w:rsid w:val="00E72A2B"/>
    <w:rsid w:val="00E72A5A"/>
    <w:rsid w:val="00E73354"/>
    <w:rsid w:val="00E73471"/>
    <w:rsid w:val="00E73D25"/>
    <w:rsid w:val="00E74AD7"/>
    <w:rsid w:val="00E75935"/>
    <w:rsid w:val="00E75AF2"/>
    <w:rsid w:val="00E766D5"/>
    <w:rsid w:val="00E76E5E"/>
    <w:rsid w:val="00E7710D"/>
    <w:rsid w:val="00E777FF"/>
    <w:rsid w:val="00E77DC8"/>
    <w:rsid w:val="00E803FF"/>
    <w:rsid w:val="00E80A33"/>
    <w:rsid w:val="00E80C90"/>
    <w:rsid w:val="00E80D96"/>
    <w:rsid w:val="00E8116F"/>
    <w:rsid w:val="00E81172"/>
    <w:rsid w:val="00E812A8"/>
    <w:rsid w:val="00E81AF0"/>
    <w:rsid w:val="00E81C07"/>
    <w:rsid w:val="00E81CB0"/>
    <w:rsid w:val="00E821DF"/>
    <w:rsid w:val="00E83BC6"/>
    <w:rsid w:val="00E84042"/>
    <w:rsid w:val="00E842B6"/>
    <w:rsid w:val="00E84537"/>
    <w:rsid w:val="00E8481D"/>
    <w:rsid w:val="00E848AA"/>
    <w:rsid w:val="00E854E6"/>
    <w:rsid w:val="00E8551D"/>
    <w:rsid w:val="00E85F80"/>
    <w:rsid w:val="00E862C9"/>
    <w:rsid w:val="00E87168"/>
    <w:rsid w:val="00E872F5"/>
    <w:rsid w:val="00E87686"/>
    <w:rsid w:val="00E87B8A"/>
    <w:rsid w:val="00E87E8D"/>
    <w:rsid w:val="00E87EA5"/>
    <w:rsid w:val="00E90F44"/>
    <w:rsid w:val="00E910C0"/>
    <w:rsid w:val="00E91CF2"/>
    <w:rsid w:val="00E9242D"/>
    <w:rsid w:val="00E925B0"/>
    <w:rsid w:val="00E92816"/>
    <w:rsid w:val="00E92996"/>
    <w:rsid w:val="00E92A61"/>
    <w:rsid w:val="00E933AF"/>
    <w:rsid w:val="00E93577"/>
    <w:rsid w:val="00E937D9"/>
    <w:rsid w:val="00E93B72"/>
    <w:rsid w:val="00E93CB9"/>
    <w:rsid w:val="00E9400C"/>
    <w:rsid w:val="00E9510A"/>
    <w:rsid w:val="00E953E1"/>
    <w:rsid w:val="00E96242"/>
    <w:rsid w:val="00E9676E"/>
    <w:rsid w:val="00E97478"/>
    <w:rsid w:val="00E97497"/>
    <w:rsid w:val="00E97713"/>
    <w:rsid w:val="00E97959"/>
    <w:rsid w:val="00E97C80"/>
    <w:rsid w:val="00E97E95"/>
    <w:rsid w:val="00EA16DE"/>
    <w:rsid w:val="00EA18CB"/>
    <w:rsid w:val="00EA1925"/>
    <w:rsid w:val="00EA1E41"/>
    <w:rsid w:val="00EA2477"/>
    <w:rsid w:val="00EA24B3"/>
    <w:rsid w:val="00EA259B"/>
    <w:rsid w:val="00EA3314"/>
    <w:rsid w:val="00EA3BAA"/>
    <w:rsid w:val="00EA45A5"/>
    <w:rsid w:val="00EA4689"/>
    <w:rsid w:val="00EA54B3"/>
    <w:rsid w:val="00EA5586"/>
    <w:rsid w:val="00EA576A"/>
    <w:rsid w:val="00EA576B"/>
    <w:rsid w:val="00EA5C06"/>
    <w:rsid w:val="00EA5DE7"/>
    <w:rsid w:val="00EA680B"/>
    <w:rsid w:val="00EA6C23"/>
    <w:rsid w:val="00EA6CD7"/>
    <w:rsid w:val="00EA6FA3"/>
    <w:rsid w:val="00EB0171"/>
    <w:rsid w:val="00EB0768"/>
    <w:rsid w:val="00EB0AAA"/>
    <w:rsid w:val="00EB144C"/>
    <w:rsid w:val="00EB1846"/>
    <w:rsid w:val="00EB206D"/>
    <w:rsid w:val="00EB26F7"/>
    <w:rsid w:val="00EB36F4"/>
    <w:rsid w:val="00EB3D99"/>
    <w:rsid w:val="00EB3F4A"/>
    <w:rsid w:val="00EB4290"/>
    <w:rsid w:val="00EB432F"/>
    <w:rsid w:val="00EB45D2"/>
    <w:rsid w:val="00EB479E"/>
    <w:rsid w:val="00EB4860"/>
    <w:rsid w:val="00EB4C6A"/>
    <w:rsid w:val="00EB5255"/>
    <w:rsid w:val="00EB5443"/>
    <w:rsid w:val="00EB55D6"/>
    <w:rsid w:val="00EB5C47"/>
    <w:rsid w:val="00EB5F96"/>
    <w:rsid w:val="00EB6A3A"/>
    <w:rsid w:val="00EB7D63"/>
    <w:rsid w:val="00EC0203"/>
    <w:rsid w:val="00EC0802"/>
    <w:rsid w:val="00EC0C01"/>
    <w:rsid w:val="00EC1002"/>
    <w:rsid w:val="00EC1DF9"/>
    <w:rsid w:val="00EC30D6"/>
    <w:rsid w:val="00EC5876"/>
    <w:rsid w:val="00EC5A52"/>
    <w:rsid w:val="00EC5F86"/>
    <w:rsid w:val="00EC626A"/>
    <w:rsid w:val="00EC67EA"/>
    <w:rsid w:val="00EC6CCA"/>
    <w:rsid w:val="00EC6E25"/>
    <w:rsid w:val="00EC7128"/>
    <w:rsid w:val="00EC73D0"/>
    <w:rsid w:val="00EC74CA"/>
    <w:rsid w:val="00ED01B5"/>
    <w:rsid w:val="00ED056F"/>
    <w:rsid w:val="00ED0639"/>
    <w:rsid w:val="00ED18F8"/>
    <w:rsid w:val="00ED20C9"/>
    <w:rsid w:val="00ED2741"/>
    <w:rsid w:val="00ED2C6A"/>
    <w:rsid w:val="00ED3564"/>
    <w:rsid w:val="00ED3A2C"/>
    <w:rsid w:val="00ED50B7"/>
    <w:rsid w:val="00ED5653"/>
    <w:rsid w:val="00ED5961"/>
    <w:rsid w:val="00ED59FC"/>
    <w:rsid w:val="00ED5C94"/>
    <w:rsid w:val="00ED5D39"/>
    <w:rsid w:val="00ED5DAF"/>
    <w:rsid w:val="00ED5DD3"/>
    <w:rsid w:val="00ED60AA"/>
    <w:rsid w:val="00ED631B"/>
    <w:rsid w:val="00ED68E0"/>
    <w:rsid w:val="00ED725C"/>
    <w:rsid w:val="00ED7305"/>
    <w:rsid w:val="00ED7F5D"/>
    <w:rsid w:val="00EE06B8"/>
    <w:rsid w:val="00EE0BCA"/>
    <w:rsid w:val="00EE2346"/>
    <w:rsid w:val="00EE2462"/>
    <w:rsid w:val="00EE2D02"/>
    <w:rsid w:val="00EE347B"/>
    <w:rsid w:val="00EE369C"/>
    <w:rsid w:val="00EE3D04"/>
    <w:rsid w:val="00EE4E98"/>
    <w:rsid w:val="00EE543D"/>
    <w:rsid w:val="00EE5FAF"/>
    <w:rsid w:val="00EE607A"/>
    <w:rsid w:val="00EE6269"/>
    <w:rsid w:val="00EE6557"/>
    <w:rsid w:val="00EE65AA"/>
    <w:rsid w:val="00EE6B8C"/>
    <w:rsid w:val="00EE7DCC"/>
    <w:rsid w:val="00EF0486"/>
    <w:rsid w:val="00EF0526"/>
    <w:rsid w:val="00EF07D3"/>
    <w:rsid w:val="00EF0ACD"/>
    <w:rsid w:val="00EF114A"/>
    <w:rsid w:val="00EF1299"/>
    <w:rsid w:val="00EF1475"/>
    <w:rsid w:val="00EF162E"/>
    <w:rsid w:val="00EF18E6"/>
    <w:rsid w:val="00EF1FC2"/>
    <w:rsid w:val="00EF2650"/>
    <w:rsid w:val="00EF2798"/>
    <w:rsid w:val="00EF2CA9"/>
    <w:rsid w:val="00EF3D8E"/>
    <w:rsid w:val="00EF4178"/>
    <w:rsid w:val="00EF4283"/>
    <w:rsid w:val="00EF4755"/>
    <w:rsid w:val="00EF4896"/>
    <w:rsid w:val="00EF4A3E"/>
    <w:rsid w:val="00EF4FDC"/>
    <w:rsid w:val="00EF56D4"/>
    <w:rsid w:val="00EF57CB"/>
    <w:rsid w:val="00EF5E30"/>
    <w:rsid w:val="00EF60B6"/>
    <w:rsid w:val="00EF60B9"/>
    <w:rsid w:val="00EF627A"/>
    <w:rsid w:val="00EF674D"/>
    <w:rsid w:val="00EF6C1D"/>
    <w:rsid w:val="00EF6FCB"/>
    <w:rsid w:val="00EF7135"/>
    <w:rsid w:val="00EF739C"/>
    <w:rsid w:val="00EF7484"/>
    <w:rsid w:val="00EF7A14"/>
    <w:rsid w:val="00EF7E8A"/>
    <w:rsid w:val="00EF7F60"/>
    <w:rsid w:val="00EF7FCC"/>
    <w:rsid w:val="00F004EC"/>
    <w:rsid w:val="00F00ECE"/>
    <w:rsid w:val="00F01242"/>
    <w:rsid w:val="00F01A49"/>
    <w:rsid w:val="00F01DAB"/>
    <w:rsid w:val="00F020EC"/>
    <w:rsid w:val="00F02326"/>
    <w:rsid w:val="00F027DB"/>
    <w:rsid w:val="00F02E01"/>
    <w:rsid w:val="00F03551"/>
    <w:rsid w:val="00F03B7A"/>
    <w:rsid w:val="00F03D49"/>
    <w:rsid w:val="00F04063"/>
    <w:rsid w:val="00F041DD"/>
    <w:rsid w:val="00F04206"/>
    <w:rsid w:val="00F048BC"/>
    <w:rsid w:val="00F04CA1"/>
    <w:rsid w:val="00F0677D"/>
    <w:rsid w:val="00F06CAA"/>
    <w:rsid w:val="00F06F5D"/>
    <w:rsid w:val="00F0768E"/>
    <w:rsid w:val="00F077B8"/>
    <w:rsid w:val="00F07988"/>
    <w:rsid w:val="00F07B09"/>
    <w:rsid w:val="00F107DE"/>
    <w:rsid w:val="00F108FE"/>
    <w:rsid w:val="00F10D62"/>
    <w:rsid w:val="00F1113E"/>
    <w:rsid w:val="00F11830"/>
    <w:rsid w:val="00F11B28"/>
    <w:rsid w:val="00F12276"/>
    <w:rsid w:val="00F13213"/>
    <w:rsid w:val="00F13565"/>
    <w:rsid w:val="00F13B96"/>
    <w:rsid w:val="00F14952"/>
    <w:rsid w:val="00F14A7A"/>
    <w:rsid w:val="00F14E4E"/>
    <w:rsid w:val="00F15B97"/>
    <w:rsid w:val="00F15F6C"/>
    <w:rsid w:val="00F16619"/>
    <w:rsid w:val="00F169E2"/>
    <w:rsid w:val="00F16C60"/>
    <w:rsid w:val="00F16EF0"/>
    <w:rsid w:val="00F17C41"/>
    <w:rsid w:val="00F20438"/>
    <w:rsid w:val="00F20730"/>
    <w:rsid w:val="00F20AC9"/>
    <w:rsid w:val="00F20D81"/>
    <w:rsid w:val="00F217F8"/>
    <w:rsid w:val="00F21801"/>
    <w:rsid w:val="00F22985"/>
    <w:rsid w:val="00F22DCC"/>
    <w:rsid w:val="00F22EC4"/>
    <w:rsid w:val="00F2387C"/>
    <w:rsid w:val="00F23A41"/>
    <w:rsid w:val="00F23BEA"/>
    <w:rsid w:val="00F23FE9"/>
    <w:rsid w:val="00F24ADE"/>
    <w:rsid w:val="00F24BF1"/>
    <w:rsid w:val="00F24D86"/>
    <w:rsid w:val="00F25203"/>
    <w:rsid w:val="00F25B3A"/>
    <w:rsid w:val="00F25E3F"/>
    <w:rsid w:val="00F26775"/>
    <w:rsid w:val="00F26AF8"/>
    <w:rsid w:val="00F271F3"/>
    <w:rsid w:val="00F27BE2"/>
    <w:rsid w:val="00F30266"/>
    <w:rsid w:val="00F305ED"/>
    <w:rsid w:val="00F30884"/>
    <w:rsid w:val="00F30B76"/>
    <w:rsid w:val="00F30DDE"/>
    <w:rsid w:val="00F311EB"/>
    <w:rsid w:val="00F31633"/>
    <w:rsid w:val="00F316C0"/>
    <w:rsid w:val="00F31A7D"/>
    <w:rsid w:val="00F31B6A"/>
    <w:rsid w:val="00F31C99"/>
    <w:rsid w:val="00F31F31"/>
    <w:rsid w:val="00F325C1"/>
    <w:rsid w:val="00F3292E"/>
    <w:rsid w:val="00F329EB"/>
    <w:rsid w:val="00F3383E"/>
    <w:rsid w:val="00F33E77"/>
    <w:rsid w:val="00F33F18"/>
    <w:rsid w:val="00F33F73"/>
    <w:rsid w:val="00F34327"/>
    <w:rsid w:val="00F34478"/>
    <w:rsid w:val="00F34B07"/>
    <w:rsid w:val="00F34C8A"/>
    <w:rsid w:val="00F34D33"/>
    <w:rsid w:val="00F34D77"/>
    <w:rsid w:val="00F34E07"/>
    <w:rsid w:val="00F350A5"/>
    <w:rsid w:val="00F35854"/>
    <w:rsid w:val="00F35BA4"/>
    <w:rsid w:val="00F35D79"/>
    <w:rsid w:val="00F35FF0"/>
    <w:rsid w:val="00F360F3"/>
    <w:rsid w:val="00F36521"/>
    <w:rsid w:val="00F3658E"/>
    <w:rsid w:val="00F36882"/>
    <w:rsid w:val="00F372B2"/>
    <w:rsid w:val="00F37706"/>
    <w:rsid w:val="00F37968"/>
    <w:rsid w:val="00F37D98"/>
    <w:rsid w:val="00F4016E"/>
    <w:rsid w:val="00F409E7"/>
    <w:rsid w:val="00F42499"/>
    <w:rsid w:val="00F4250D"/>
    <w:rsid w:val="00F439E3"/>
    <w:rsid w:val="00F44129"/>
    <w:rsid w:val="00F4455B"/>
    <w:rsid w:val="00F44860"/>
    <w:rsid w:val="00F44BEF"/>
    <w:rsid w:val="00F453D3"/>
    <w:rsid w:val="00F465A7"/>
    <w:rsid w:val="00F46FAA"/>
    <w:rsid w:val="00F472ED"/>
    <w:rsid w:val="00F473EB"/>
    <w:rsid w:val="00F47616"/>
    <w:rsid w:val="00F47684"/>
    <w:rsid w:val="00F50591"/>
    <w:rsid w:val="00F50B7C"/>
    <w:rsid w:val="00F512B7"/>
    <w:rsid w:val="00F51508"/>
    <w:rsid w:val="00F51756"/>
    <w:rsid w:val="00F51F38"/>
    <w:rsid w:val="00F524CE"/>
    <w:rsid w:val="00F52A4D"/>
    <w:rsid w:val="00F52D86"/>
    <w:rsid w:val="00F52F5E"/>
    <w:rsid w:val="00F53653"/>
    <w:rsid w:val="00F545DD"/>
    <w:rsid w:val="00F548F1"/>
    <w:rsid w:val="00F550E6"/>
    <w:rsid w:val="00F55C35"/>
    <w:rsid w:val="00F563F4"/>
    <w:rsid w:val="00F56E8D"/>
    <w:rsid w:val="00F5710C"/>
    <w:rsid w:val="00F57B50"/>
    <w:rsid w:val="00F60418"/>
    <w:rsid w:val="00F60E29"/>
    <w:rsid w:val="00F6144C"/>
    <w:rsid w:val="00F614E4"/>
    <w:rsid w:val="00F6381D"/>
    <w:rsid w:val="00F63A5F"/>
    <w:rsid w:val="00F63B8F"/>
    <w:rsid w:val="00F64A42"/>
    <w:rsid w:val="00F64F1F"/>
    <w:rsid w:val="00F64F86"/>
    <w:rsid w:val="00F65B9B"/>
    <w:rsid w:val="00F65ED6"/>
    <w:rsid w:val="00F66A8A"/>
    <w:rsid w:val="00F66AC8"/>
    <w:rsid w:val="00F67024"/>
    <w:rsid w:val="00F670ED"/>
    <w:rsid w:val="00F671AA"/>
    <w:rsid w:val="00F67EDD"/>
    <w:rsid w:val="00F70087"/>
    <w:rsid w:val="00F70444"/>
    <w:rsid w:val="00F71461"/>
    <w:rsid w:val="00F71A8E"/>
    <w:rsid w:val="00F72058"/>
    <w:rsid w:val="00F723B7"/>
    <w:rsid w:val="00F72556"/>
    <w:rsid w:val="00F72B4D"/>
    <w:rsid w:val="00F72EA0"/>
    <w:rsid w:val="00F72F6C"/>
    <w:rsid w:val="00F73EE6"/>
    <w:rsid w:val="00F74277"/>
    <w:rsid w:val="00F74345"/>
    <w:rsid w:val="00F7507D"/>
    <w:rsid w:val="00F76004"/>
    <w:rsid w:val="00F76011"/>
    <w:rsid w:val="00F7697C"/>
    <w:rsid w:val="00F777CF"/>
    <w:rsid w:val="00F8065D"/>
    <w:rsid w:val="00F8083E"/>
    <w:rsid w:val="00F80A0A"/>
    <w:rsid w:val="00F81227"/>
    <w:rsid w:val="00F81402"/>
    <w:rsid w:val="00F81AF7"/>
    <w:rsid w:val="00F81CA4"/>
    <w:rsid w:val="00F81D6D"/>
    <w:rsid w:val="00F82B19"/>
    <w:rsid w:val="00F83070"/>
    <w:rsid w:val="00F8311F"/>
    <w:rsid w:val="00F837E7"/>
    <w:rsid w:val="00F839D5"/>
    <w:rsid w:val="00F84AFE"/>
    <w:rsid w:val="00F84EC3"/>
    <w:rsid w:val="00F8565B"/>
    <w:rsid w:val="00F856BD"/>
    <w:rsid w:val="00F857F6"/>
    <w:rsid w:val="00F85A51"/>
    <w:rsid w:val="00F85E54"/>
    <w:rsid w:val="00F868EF"/>
    <w:rsid w:val="00F86E4B"/>
    <w:rsid w:val="00F8747E"/>
    <w:rsid w:val="00F87B14"/>
    <w:rsid w:val="00F90356"/>
    <w:rsid w:val="00F911A8"/>
    <w:rsid w:val="00F91280"/>
    <w:rsid w:val="00F9192E"/>
    <w:rsid w:val="00F92030"/>
    <w:rsid w:val="00F9212D"/>
    <w:rsid w:val="00F9261B"/>
    <w:rsid w:val="00F92847"/>
    <w:rsid w:val="00F92D2D"/>
    <w:rsid w:val="00F93474"/>
    <w:rsid w:val="00F944E0"/>
    <w:rsid w:val="00F946E0"/>
    <w:rsid w:val="00F94BC5"/>
    <w:rsid w:val="00F94BEC"/>
    <w:rsid w:val="00F956D4"/>
    <w:rsid w:val="00F96325"/>
    <w:rsid w:val="00F965DA"/>
    <w:rsid w:val="00F966A0"/>
    <w:rsid w:val="00F969AC"/>
    <w:rsid w:val="00F96AD6"/>
    <w:rsid w:val="00F96CDA"/>
    <w:rsid w:val="00F97D8C"/>
    <w:rsid w:val="00FA1480"/>
    <w:rsid w:val="00FA19C9"/>
    <w:rsid w:val="00FA27D4"/>
    <w:rsid w:val="00FA2FA0"/>
    <w:rsid w:val="00FA30B0"/>
    <w:rsid w:val="00FA3707"/>
    <w:rsid w:val="00FA3DA5"/>
    <w:rsid w:val="00FA3F6C"/>
    <w:rsid w:val="00FA406A"/>
    <w:rsid w:val="00FA4D5D"/>
    <w:rsid w:val="00FA4F30"/>
    <w:rsid w:val="00FA566E"/>
    <w:rsid w:val="00FA5C86"/>
    <w:rsid w:val="00FA5D4B"/>
    <w:rsid w:val="00FA6019"/>
    <w:rsid w:val="00FA6574"/>
    <w:rsid w:val="00FB0327"/>
    <w:rsid w:val="00FB0544"/>
    <w:rsid w:val="00FB09D0"/>
    <w:rsid w:val="00FB0B94"/>
    <w:rsid w:val="00FB112B"/>
    <w:rsid w:val="00FB2012"/>
    <w:rsid w:val="00FB2565"/>
    <w:rsid w:val="00FB259C"/>
    <w:rsid w:val="00FB325F"/>
    <w:rsid w:val="00FB3441"/>
    <w:rsid w:val="00FB3595"/>
    <w:rsid w:val="00FB3A89"/>
    <w:rsid w:val="00FB3BD9"/>
    <w:rsid w:val="00FB3F9C"/>
    <w:rsid w:val="00FB503A"/>
    <w:rsid w:val="00FB516C"/>
    <w:rsid w:val="00FB5180"/>
    <w:rsid w:val="00FB51A6"/>
    <w:rsid w:val="00FB685F"/>
    <w:rsid w:val="00FB6B7B"/>
    <w:rsid w:val="00FB7287"/>
    <w:rsid w:val="00FB793F"/>
    <w:rsid w:val="00FB7DC4"/>
    <w:rsid w:val="00FC01C3"/>
    <w:rsid w:val="00FC0D5E"/>
    <w:rsid w:val="00FC19C6"/>
    <w:rsid w:val="00FC1A2D"/>
    <w:rsid w:val="00FC1ADB"/>
    <w:rsid w:val="00FC1C78"/>
    <w:rsid w:val="00FC1E1B"/>
    <w:rsid w:val="00FC20D7"/>
    <w:rsid w:val="00FC2207"/>
    <w:rsid w:val="00FC2581"/>
    <w:rsid w:val="00FC25D9"/>
    <w:rsid w:val="00FC26F6"/>
    <w:rsid w:val="00FC28E9"/>
    <w:rsid w:val="00FC2AE9"/>
    <w:rsid w:val="00FC3DD3"/>
    <w:rsid w:val="00FC3FD5"/>
    <w:rsid w:val="00FC41ED"/>
    <w:rsid w:val="00FC4C20"/>
    <w:rsid w:val="00FC4DC4"/>
    <w:rsid w:val="00FC54BA"/>
    <w:rsid w:val="00FC65C5"/>
    <w:rsid w:val="00FC66AF"/>
    <w:rsid w:val="00FC6882"/>
    <w:rsid w:val="00FC6F70"/>
    <w:rsid w:val="00FC7313"/>
    <w:rsid w:val="00FD0236"/>
    <w:rsid w:val="00FD1070"/>
    <w:rsid w:val="00FD18F4"/>
    <w:rsid w:val="00FD19B5"/>
    <w:rsid w:val="00FD1C20"/>
    <w:rsid w:val="00FD1F07"/>
    <w:rsid w:val="00FD1F35"/>
    <w:rsid w:val="00FD2B9E"/>
    <w:rsid w:val="00FD2F3E"/>
    <w:rsid w:val="00FD3005"/>
    <w:rsid w:val="00FD368A"/>
    <w:rsid w:val="00FD3C0F"/>
    <w:rsid w:val="00FD3E31"/>
    <w:rsid w:val="00FD42F9"/>
    <w:rsid w:val="00FD44E0"/>
    <w:rsid w:val="00FD47B2"/>
    <w:rsid w:val="00FD53D4"/>
    <w:rsid w:val="00FD54DB"/>
    <w:rsid w:val="00FD5B13"/>
    <w:rsid w:val="00FD619F"/>
    <w:rsid w:val="00FD67C9"/>
    <w:rsid w:val="00FE0CB4"/>
    <w:rsid w:val="00FE0EED"/>
    <w:rsid w:val="00FE149E"/>
    <w:rsid w:val="00FE1A1A"/>
    <w:rsid w:val="00FE1B46"/>
    <w:rsid w:val="00FE20AA"/>
    <w:rsid w:val="00FE23AA"/>
    <w:rsid w:val="00FE2A40"/>
    <w:rsid w:val="00FE34F4"/>
    <w:rsid w:val="00FE3E5C"/>
    <w:rsid w:val="00FE3EFB"/>
    <w:rsid w:val="00FE551E"/>
    <w:rsid w:val="00FE5B0A"/>
    <w:rsid w:val="00FE6EDB"/>
    <w:rsid w:val="00FE753F"/>
    <w:rsid w:val="00FE7603"/>
    <w:rsid w:val="00FE7B4E"/>
    <w:rsid w:val="00FF06AC"/>
    <w:rsid w:val="00FF07CF"/>
    <w:rsid w:val="00FF0FCA"/>
    <w:rsid w:val="00FF125A"/>
    <w:rsid w:val="00FF15E8"/>
    <w:rsid w:val="00FF1DD9"/>
    <w:rsid w:val="00FF28E9"/>
    <w:rsid w:val="00FF49DE"/>
    <w:rsid w:val="00FF4D6F"/>
    <w:rsid w:val="00FF4F8A"/>
    <w:rsid w:val="00FF79AB"/>
    <w:rsid w:val="00FF7DBC"/>
    <w:rsid w:val="01290F7E"/>
    <w:rsid w:val="015D1E09"/>
    <w:rsid w:val="018B3888"/>
    <w:rsid w:val="021C29C7"/>
    <w:rsid w:val="02697903"/>
    <w:rsid w:val="02F96569"/>
    <w:rsid w:val="03EA7B21"/>
    <w:rsid w:val="057B460B"/>
    <w:rsid w:val="05F83EAE"/>
    <w:rsid w:val="063808F6"/>
    <w:rsid w:val="063E7D85"/>
    <w:rsid w:val="06707ABE"/>
    <w:rsid w:val="07293586"/>
    <w:rsid w:val="07295285"/>
    <w:rsid w:val="07636392"/>
    <w:rsid w:val="07770C56"/>
    <w:rsid w:val="07B403E2"/>
    <w:rsid w:val="08B576D2"/>
    <w:rsid w:val="08D631A4"/>
    <w:rsid w:val="092217DD"/>
    <w:rsid w:val="09336848"/>
    <w:rsid w:val="093A7294"/>
    <w:rsid w:val="0A263993"/>
    <w:rsid w:val="0A2D3AC2"/>
    <w:rsid w:val="0AA755DF"/>
    <w:rsid w:val="0B120D44"/>
    <w:rsid w:val="0BD27BF6"/>
    <w:rsid w:val="0C3B3C7D"/>
    <w:rsid w:val="0CAB2EAE"/>
    <w:rsid w:val="0D621C7D"/>
    <w:rsid w:val="0D773F56"/>
    <w:rsid w:val="0DE0128D"/>
    <w:rsid w:val="0E73034D"/>
    <w:rsid w:val="0F13775A"/>
    <w:rsid w:val="0F5F45FE"/>
    <w:rsid w:val="0F9A112B"/>
    <w:rsid w:val="0FB87AC1"/>
    <w:rsid w:val="106D2F64"/>
    <w:rsid w:val="10B63710"/>
    <w:rsid w:val="10E7782D"/>
    <w:rsid w:val="10F10820"/>
    <w:rsid w:val="111C2F7A"/>
    <w:rsid w:val="11665CA1"/>
    <w:rsid w:val="126B6C85"/>
    <w:rsid w:val="13951726"/>
    <w:rsid w:val="13CC66FB"/>
    <w:rsid w:val="14396509"/>
    <w:rsid w:val="14C009A5"/>
    <w:rsid w:val="14DD2C3C"/>
    <w:rsid w:val="15EC021B"/>
    <w:rsid w:val="16087E1D"/>
    <w:rsid w:val="162B1499"/>
    <w:rsid w:val="16C46938"/>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DFB37F6"/>
    <w:rsid w:val="1E7A43DA"/>
    <w:rsid w:val="1FE7539E"/>
    <w:rsid w:val="20610D36"/>
    <w:rsid w:val="20671BE0"/>
    <w:rsid w:val="20963CB8"/>
    <w:rsid w:val="20A81A1B"/>
    <w:rsid w:val="20B07FB6"/>
    <w:rsid w:val="20B646FB"/>
    <w:rsid w:val="213B74B1"/>
    <w:rsid w:val="215A2310"/>
    <w:rsid w:val="21B543F4"/>
    <w:rsid w:val="21DE318A"/>
    <w:rsid w:val="21EF5B80"/>
    <w:rsid w:val="22576990"/>
    <w:rsid w:val="22F47480"/>
    <w:rsid w:val="23DE1C48"/>
    <w:rsid w:val="240210CD"/>
    <w:rsid w:val="24B03D2C"/>
    <w:rsid w:val="24BF09F7"/>
    <w:rsid w:val="24C742EC"/>
    <w:rsid w:val="252D53FE"/>
    <w:rsid w:val="25EC2D81"/>
    <w:rsid w:val="27410617"/>
    <w:rsid w:val="277057A2"/>
    <w:rsid w:val="29206EB8"/>
    <w:rsid w:val="29595666"/>
    <w:rsid w:val="29874881"/>
    <w:rsid w:val="29E325E0"/>
    <w:rsid w:val="29EE3499"/>
    <w:rsid w:val="2A452503"/>
    <w:rsid w:val="2A8E5B5E"/>
    <w:rsid w:val="2B1E16C4"/>
    <w:rsid w:val="2BA936A8"/>
    <w:rsid w:val="2C315A5A"/>
    <w:rsid w:val="2C4B1C25"/>
    <w:rsid w:val="2D8E7B0F"/>
    <w:rsid w:val="2D9E56F5"/>
    <w:rsid w:val="2E667F96"/>
    <w:rsid w:val="2E8226AB"/>
    <w:rsid w:val="2F875AE8"/>
    <w:rsid w:val="2FD065E6"/>
    <w:rsid w:val="2FD96870"/>
    <w:rsid w:val="302002DF"/>
    <w:rsid w:val="3034051B"/>
    <w:rsid w:val="30580BC9"/>
    <w:rsid w:val="311E2ED7"/>
    <w:rsid w:val="3152618B"/>
    <w:rsid w:val="315619EE"/>
    <w:rsid w:val="315C449C"/>
    <w:rsid w:val="31B82709"/>
    <w:rsid w:val="31D05482"/>
    <w:rsid w:val="32400B34"/>
    <w:rsid w:val="329E6876"/>
    <w:rsid w:val="333015F2"/>
    <w:rsid w:val="334B6320"/>
    <w:rsid w:val="33BFD1FC"/>
    <w:rsid w:val="33CC657C"/>
    <w:rsid w:val="33D934D4"/>
    <w:rsid w:val="33EE2943"/>
    <w:rsid w:val="33FE2F6A"/>
    <w:rsid w:val="340E07E5"/>
    <w:rsid w:val="34235BF7"/>
    <w:rsid w:val="358C5FA8"/>
    <w:rsid w:val="35C15DF1"/>
    <w:rsid w:val="36074A7F"/>
    <w:rsid w:val="36923549"/>
    <w:rsid w:val="36B75FBF"/>
    <w:rsid w:val="36BD0C45"/>
    <w:rsid w:val="37BBF746"/>
    <w:rsid w:val="37E00298"/>
    <w:rsid w:val="380B7600"/>
    <w:rsid w:val="38B302F9"/>
    <w:rsid w:val="38F12CD3"/>
    <w:rsid w:val="38F94775"/>
    <w:rsid w:val="392971ED"/>
    <w:rsid w:val="39325651"/>
    <w:rsid w:val="39D57883"/>
    <w:rsid w:val="39FFA2B9"/>
    <w:rsid w:val="3A872856"/>
    <w:rsid w:val="3B3763D1"/>
    <w:rsid w:val="3BFFE721"/>
    <w:rsid w:val="3C2F6E1E"/>
    <w:rsid w:val="3C4F64BA"/>
    <w:rsid w:val="3CDA245A"/>
    <w:rsid w:val="3D1E06B7"/>
    <w:rsid w:val="3D6EFB11"/>
    <w:rsid w:val="3E9D7A57"/>
    <w:rsid w:val="3EDA0523"/>
    <w:rsid w:val="3F0D0DD1"/>
    <w:rsid w:val="3F9F6C7B"/>
    <w:rsid w:val="407A6407"/>
    <w:rsid w:val="40E339E5"/>
    <w:rsid w:val="410D4CAE"/>
    <w:rsid w:val="4200449D"/>
    <w:rsid w:val="423A3BCC"/>
    <w:rsid w:val="424E57D2"/>
    <w:rsid w:val="42B26C49"/>
    <w:rsid w:val="433A6FE6"/>
    <w:rsid w:val="43480868"/>
    <w:rsid w:val="4350713C"/>
    <w:rsid w:val="436653E0"/>
    <w:rsid w:val="43C4431A"/>
    <w:rsid w:val="445E7C92"/>
    <w:rsid w:val="44B951CC"/>
    <w:rsid w:val="44CD14E0"/>
    <w:rsid w:val="44F20B0B"/>
    <w:rsid w:val="452E5F4C"/>
    <w:rsid w:val="45612018"/>
    <w:rsid w:val="458946E9"/>
    <w:rsid w:val="45A47C0E"/>
    <w:rsid w:val="46417A8A"/>
    <w:rsid w:val="46577FD6"/>
    <w:rsid w:val="46D955A7"/>
    <w:rsid w:val="47133957"/>
    <w:rsid w:val="47A07E0C"/>
    <w:rsid w:val="4870272E"/>
    <w:rsid w:val="49DC7715"/>
    <w:rsid w:val="4A023139"/>
    <w:rsid w:val="4A26009D"/>
    <w:rsid w:val="4A475610"/>
    <w:rsid w:val="4A7B576F"/>
    <w:rsid w:val="4AF561A9"/>
    <w:rsid w:val="4B985ABC"/>
    <w:rsid w:val="4C4A0649"/>
    <w:rsid w:val="4C7E5ECA"/>
    <w:rsid w:val="4C876AA5"/>
    <w:rsid w:val="4C944C84"/>
    <w:rsid w:val="4D0E00FB"/>
    <w:rsid w:val="4D176606"/>
    <w:rsid w:val="4DEC4FB0"/>
    <w:rsid w:val="4DF33C64"/>
    <w:rsid w:val="4E075D8A"/>
    <w:rsid w:val="4EA83F68"/>
    <w:rsid w:val="4EC00FAD"/>
    <w:rsid w:val="4EDF9082"/>
    <w:rsid w:val="4F9843DC"/>
    <w:rsid w:val="4FC62A8C"/>
    <w:rsid w:val="4FD03A76"/>
    <w:rsid w:val="4FE20F0D"/>
    <w:rsid w:val="4FE51552"/>
    <w:rsid w:val="50504C4B"/>
    <w:rsid w:val="5075308D"/>
    <w:rsid w:val="509C6E7C"/>
    <w:rsid w:val="5162104E"/>
    <w:rsid w:val="51A41869"/>
    <w:rsid w:val="53A039CC"/>
    <w:rsid w:val="53A1505A"/>
    <w:rsid w:val="54063E08"/>
    <w:rsid w:val="543437E8"/>
    <w:rsid w:val="54F73313"/>
    <w:rsid w:val="54F80955"/>
    <w:rsid w:val="555170A7"/>
    <w:rsid w:val="5587536D"/>
    <w:rsid w:val="559B174B"/>
    <w:rsid w:val="55CE0CF4"/>
    <w:rsid w:val="56B22A9C"/>
    <w:rsid w:val="57B72A76"/>
    <w:rsid w:val="57C3426C"/>
    <w:rsid w:val="57CE1F93"/>
    <w:rsid w:val="57F3EF00"/>
    <w:rsid w:val="588743D1"/>
    <w:rsid w:val="5887701A"/>
    <w:rsid w:val="59C0439F"/>
    <w:rsid w:val="5ABE2233"/>
    <w:rsid w:val="5BDF5D95"/>
    <w:rsid w:val="5BFE7528"/>
    <w:rsid w:val="5D7BBCE8"/>
    <w:rsid w:val="5DBB3FB7"/>
    <w:rsid w:val="5DED09D2"/>
    <w:rsid w:val="5E2467F1"/>
    <w:rsid w:val="5F1A2B43"/>
    <w:rsid w:val="5FB837BB"/>
    <w:rsid w:val="5FBE458C"/>
    <w:rsid w:val="5FDE022F"/>
    <w:rsid w:val="5FFD6096"/>
    <w:rsid w:val="5FFFE1CF"/>
    <w:rsid w:val="60B314CA"/>
    <w:rsid w:val="60CC405A"/>
    <w:rsid w:val="61E215D8"/>
    <w:rsid w:val="621B3775"/>
    <w:rsid w:val="62364782"/>
    <w:rsid w:val="630E06E5"/>
    <w:rsid w:val="6394356A"/>
    <w:rsid w:val="63ADFE25"/>
    <w:rsid w:val="63C61B2C"/>
    <w:rsid w:val="63D40BE9"/>
    <w:rsid w:val="63E2621D"/>
    <w:rsid w:val="64102431"/>
    <w:rsid w:val="64A5243A"/>
    <w:rsid w:val="64F531DE"/>
    <w:rsid w:val="65373578"/>
    <w:rsid w:val="65FC6775"/>
    <w:rsid w:val="671F124A"/>
    <w:rsid w:val="677A33C6"/>
    <w:rsid w:val="681F6961"/>
    <w:rsid w:val="68610A2F"/>
    <w:rsid w:val="68805514"/>
    <w:rsid w:val="68EF2D67"/>
    <w:rsid w:val="69316E2F"/>
    <w:rsid w:val="694E2071"/>
    <w:rsid w:val="69766163"/>
    <w:rsid w:val="697A3B33"/>
    <w:rsid w:val="69D44760"/>
    <w:rsid w:val="69D63F27"/>
    <w:rsid w:val="6A520EC7"/>
    <w:rsid w:val="6AF87E20"/>
    <w:rsid w:val="6B322639"/>
    <w:rsid w:val="6BB55C23"/>
    <w:rsid w:val="6C5941D3"/>
    <w:rsid w:val="6C636C38"/>
    <w:rsid w:val="6CED0FA8"/>
    <w:rsid w:val="6D286BA0"/>
    <w:rsid w:val="6DB34098"/>
    <w:rsid w:val="6DB545B6"/>
    <w:rsid w:val="6DD1EB93"/>
    <w:rsid w:val="6DE02FB4"/>
    <w:rsid w:val="6E514CED"/>
    <w:rsid w:val="6E775E6C"/>
    <w:rsid w:val="6EB563D5"/>
    <w:rsid w:val="6EBBC77B"/>
    <w:rsid w:val="6EBD925C"/>
    <w:rsid w:val="6ED92677"/>
    <w:rsid w:val="6F225983"/>
    <w:rsid w:val="6FCF35D4"/>
    <w:rsid w:val="6FFC5590"/>
    <w:rsid w:val="6FFE0F47"/>
    <w:rsid w:val="706D1DD0"/>
    <w:rsid w:val="70856B87"/>
    <w:rsid w:val="70D527EE"/>
    <w:rsid w:val="715B5300"/>
    <w:rsid w:val="71D27F8A"/>
    <w:rsid w:val="72553024"/>
    <w:rsid w:val="73122968"/>
    <w:rsid w:val="731F5D5E"/>
    <w:rsid w:val="73C51AD5"/>
    <w:rsid w:val="741E793C"/>
    <w:rsid w:val="745E3944"/>
    <w:rsid w:val="74B76D22"/>
    <w:rsid w:val="75347FA6"/>
    <w:rsid w:val="759251A6"/>
    <w:rsid w:val="7635099D"/>
    <w:rsid w:val="76753A6B"/>
    <w:rsid w:val="76E77699"/>
    <w:rsid w:val="77762421"/>
    <w:rsid w:val="77B56B1F"/>
    <w:rsid w:val="77CEC075"/>
    <w:rsid w:val="780F09F4"/>
    <w:rsid w:val="78A90480"/>
    <w:rsid w:val="7A364017"/>
    <w:rsid w:val="7A37302C"/>
    <w:rsid w:val="7A8265E1"/>
    <w:rsid w:val="7B686D42"/>
    <w:rsid w:val="7B841746"/>
    <w:rsid w:val="7B89704B"/>
    <w:rsid w:val="7BB8202B"/>
    <w:rsid w:val="7BE96976"/>
    <w:rsid w:val="7C567607"/>
    <w:rsid w:val="7C6C5AC7"/>
    <w:rsid w:val="7CC6544B"/>
    <w:rsid w:val="7D0239FF"/>
    <w:rsid w:val="7D5E40CD"/>
    <w:rsid w:val="7DCD56F2"/>
    <w:rsid w:val="7F001CE7"/>
    <w:rsid w:val="7FE47E50"/>
    <w:rsid w:val="7FF01447"/>
    <w:rsid w:val="9F95C099"/>
    <w:rsid w:val="9FEF12C2"/>
    <w:rsid w:val="A7CF10FE"/>
    <w:rsid w:val="AE671B2B"/>
    <w:rsid w:val="B7DDEF2E"/>
    <w:rsid w:val="BFBE3C9A"/>
    <w:rsid w:val="BFBEB50A"/>
    <w:rsid w:val="BFDFA3DF"/>
    <w:rsid w:val="BFFF7F1E"/>
    <w:rsid w:val="D7DFA7FF"/>
    <w:rsid w:val="DBF9333F"/>
    <w:rsid w:val="DD3DB633"/>
    <w:rsid w:val="DDEAA0A5"/>
    <w:rsid w:val="DE558608"/>
    <w:rsid w:val="DEDDAE09"/>
    <w:rsid w:val="DFB74AAC"/>
    <w:rsid w:val="E9BD424C"/>
    <w:rsid w:val="ECBB4FB8"/>
    <w:rsid w:val="EDBF9831"/>
    <w:rsid w:val="EEEE4EC3"/>
    <w:rsid w:val="F597FED9"/>
    <w:rsid w:val="F5BA4AEB"/>
    <w:rsid w:val="F67BE749"/>
    <w:rsid w:val="FEBF76B3"/>
    <w:rsid w:val="FEBF8B85"/>
    <w:rsid w:val="FEFBFCDB"/>
    <w:rsid w:val="FF1DD1B9"/>
    <w:rsid w:val="FF9E0C56"/>
    <w:rsid w:val="FFBAC031"/>
    <w:rsid w:val="FFF60DCB"/>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semiHidden="0" w:name="heading 3" w:locked="1"/>
    <w:lsdException w:qFormat="1"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qFormat="1"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unhideWhenUsed="0" w:uiPriority="0"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82"/>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link w:val="71"/>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66"/>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link w:val="73"/>
    <w:unhideWhenUsed/>
    <w:qFormat/>
    <w:locked/>
    <w:uiPriority w:val="0"/>
    <w:pPr>
      <w:keepNext/>
      <w:keepLines/>
      <w:spacing w:before="280" w:after="290" w:line="376" w:lineRule="auto"/>
      <w:outlineLvl w:val="3"/>
    </w:pPr>
    <w:rPr>
      <w:rFonts w:ascii="等线 Light" w:hAnsi="等线 Light" w:eastAsia="等线 Light"/>
      <w:b/>
      <w:bCs/>
      <w:sz w:val="28"/>
      <w:szCs w:val="28"/>
    </w:rPr>
  </w:style>
  <w:style w:type="paragraph" w:styleId="6">
    <w:name w:val="heading 5"/>
    <w:basedOn w:val="1"/>
    <w:next w:val="1"/>
    <w:link w:val="77"/>
    <w:qFormat/>
    <w:locked/>
    <w:uiPriority w:val="0"/>
    <w:pPr>
      <w:keepNext/>
      <w:keepLines/>
      <w:tabs>
        <w:tab w:val="left" w:pos="1008"/>
      </w:tabs>
      <w:autoSpaceDE w:val="0"/>
      <w:autoSpaceDN w:val="0"/>
      <w:adjustRightInd w:val="0"/>
      <w:spacing w:line="360" w:lineRule="auto"/>
      <w:ind w:left="1008" w:hanging="1008"/>
      <w:outlineLvl w:val="4"/>
    </w:pPr>
    <w:rPr>
      <w:rFonts w:eastAsia="逐浪创艺粗黑"/>
      <w:b/>
      <w:kern w:val="0"/>
      <w:sz w:val="24"/>
      <w:szCs w:val="20"/>
    </w:rPr>
  </w:style>
  <w:style w:type="paragraph" w:styleId="7">
    <w:name w:val="heading 6"/>
    <w:basedOn w:val="1"/>
    <w:next w:val="1"/>
    <w:link w:val="78"/>
    <w:qFormat/>
    <w:locked/>
    <w:uiPriority w:val="0"/>
    <w:pPr>
      <w:keepNext/>
      <w:keepLines/>
      <w:tabs>
        <w:tab w:val="left" w:pos="1152"/>
      </w:tabs>
      <w:adjustRightInd w:val="0"/>
      <w:spacing w:before="240" w:after="64" w:line="320" w:lineRule="atLeast"/>
      <w:ind w:left="1152" w:hanging="1152"/>
      <w:jc w:val="left"/>
      <w:textAlignment w:val="baseline"/>
      <w:outlineLvl w:val="5"/>
    </w:pPr>
    <w:rPr>
      <w:rFonts w:ascii="Arial" w:hAnsi="Arial" w:eastAsia="黑体"/>
      <w:b/>
      <w:kern w:val="0"/>
      <w:sz w:val="24"/>
      <w:szCs w:val="20"/>
    </w:rPr>
  </w:style>
  <w:style w:type="paragraph" w:styleId="8">
    <w:name w:val="heading 7"/>
    <w:basedOn w:val="1"/>
    <w:next w:val="1"/>
    <w:link w:val="79"/>
    <w:qFormat/>
    <w:locked/>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80"/>
    <w:qFormat/>
    <w:locked/>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81"/>
    <w:qFormat/>
    <w:locked/>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2"/>
    <w:link w:val="74"/>
    <w:qFormat/>
    <w:locked/>
    <w:uiPriority w:val="0"/>
    <w:pPr>
      <w:ind w:firstLine="420" w:firstLineChars="200"/>
    </w:pPr>
  </w:style>
  <w:style w:type="paragraph" w:customStyle="1" w:styleId="12">
    <w:name w:val="正文首行缩进2个字 Char"/>
    <w:basedOn w:val="1"/>
    <w:qFormat/>
    <w:uiPriority w:val="0"/>
    <w:pPr>
      <w:ind w:firstLine="480" w:firstLineChars="200"/>
    </w:pPr>
    <w:rPr>
      <w:rFonts w:eastAsia="楷体"/>
      <w:sz w:val="24"/>
    </w:rPr>
  </w:style>
  <w:style w:type="paragraph" w:styleId="13">
    <w:name w:val="Document Map"/>
    <w:basedOn w:val="1"/>
    <w:link w:val="133"/>
    <w:qFormat/>
    <w:locked/>
    <w:uiPriority w:val="0"/>
    <w:pPr>
      <w:shd w:val="clear" w:color="auto" w:fill="000080"/>
    </w:pPr>
  </w:style>
  <w:style w:type="paragraph" w:styleId="14">
    <w:name w:val="annotation text"/>
    <w:basedOn w:val="1"/>
    <w:link w:val="53"/>
    <w:semiHidden/>
    <w:qFormat/>
    <w:uiPriority w:val="0"/>
    <w:pPr>
      <w:jc w:val="left"/>
    </w:pPr>
    <w:rPr>
      <w:kern w:val="0"/>
      <w:sz w:val="24"/>
      <w:szCs w:val="20"/>
    </w:rPr>
  </w:style>
  <w:style w:type="paragraph" w:styleId="15">
    <w:name w:val="Body Text 3"/>
    <w:basedOn w:val="1"/>
    <w:link w:val="137"/>
    <w:qFormat/>
    <w:locked/>
    <w:uiPriority w:val="0"/>
    <w:rPr>
      <w:rFonts w:eastAsia="仿宋_GB2312"/>
      <w:sz w:val="24"/>
    </w:rPr>
  </w:style>
  <w:style w:type="paragraph" w:styleId="16">
    <w:name w:val="Body Text"/>
    <w:basedOn w:val="1"/>
    <w:link w:val="52"/>
    <w:qFormat/>
    <w:uiPriority w:val="0"/>
    <w:pPr>
      <w:widowControl/>
      <w:snapToGrid w:val="0"/>
      <w:spacing w:before="60" w:after="160" w:line="259" w:lineRule="auto"/>
      <w:ind w:right="113"/>
    </w:pPr>
    <w:rPr>
      <w:kern w:val="0"/>
      <w:sz w:val="18"/>
      <w:szCs w:val="20"/>
    </w:rPr>
  </w:style>
  <w:style w:type="paragraph" w:styleId="17">
    <w:name w:val="Body Text Indent"/>
    <w:basedOn w:val="1"/>
    <w:link w:val="61"/>
    <w:qFormat/>
    <w:uiPriority w:val="0"/>
    <w:pPr>
      <w:spacing w:after="120"/>
      <w:ind w:left="420" w:leftChars="200"/>
    </w:pPr>
    <w:rPr>
      <w:kern w:val="0"/>
      <w:sz w:val="24"/>
      <w:szCs w:val="20"/>
    </w:rPr>
  </w:style>
  <w:style w:type="paragraph" w:styleId="18">
    <w:name w:val="Block Text"/>
    <w:basedOn w:val="1"/>
    <w:qFormat/>
    <w:locked/>
    <w:uiPriority w:val="0"/>
    <w:pPr>
      <w:ind w:left="480" w:right="-1414"/>
      <w:jc w:val="left"/>
    </w:pPr>
    <w:rPr>
      <w:rFonts w:ascii="仿宋_GB2312"/>
    </w:rPr>
  </w:style>
  <w:style w:type="paragraph" w:styleId="19">
    <w:name w:val="toc 3"/>
    <w:basedOn w:val="1"/>
    <w:next w:val="1"/>
    <w:qFormat/>
    <w:locked/>
    <w:uiPriority w:val="0"/>
    <w:pPr>
      <w:ind w:left="560"/>
      <w:jc w:val="left"/>
    </w:pPr>
    <w:rPr>
      <w:i/>
      <w:iCs/>
      <w:sz w:val="20"/>
      <w:szCs w:val="20"/>
    </w:rPr>
  </w:style>
  <w:style w:type="paragraph" w:styleId="20">
    <w:name w:val="Plain Text"/>
    <w:basedOn w:val="1"/>
    <w:link w:val="75"/>
    <w:qFormat/>
    <w:locked/>
    <w:uiPriority w:val="0"/>
    <w:pPr>
      <w:snapToGrid w:val="0"/>
    </w:pPr>
    <w:rPr>
      <w:rFonts w:ascii="宋体" w:hAnsi="Courier New"/>
      <w:sz w:val="24"/>
      <w:szCs w:val="20"/>
    </w:rPr>
  </w:style>
  <w:style w:type="paragraph" w:styleId="21">
    <w:name w:val="Date"/>
    <w:basedOn w:val="1"/>
    <w:next w:val="1"/>
    <w:link w:val="48"/>
    <w:qFormat/>
    <w:uiPriority w:val="0"/>
    <w:pPr>
      <w:ind w:left="100" w:leftChars="2500"/>
    </w:pPr>
    <w:rPr>
      <w:kern w:val="0"/>
      <w:sz w:val="24"/>
      <w:szCs w:val="20"/>
    </w:rPr>
  </w:style>
  <w:style w:type="paragraph" w:styleId="22">
    <w:name w:val="Body Text Indent 2"/>
    <w:basedOn w:val="1"/>
    <w:link w:val="64"/>
    <w:qFormat/>
    <w:locked/>
    <w:uiPriority w:val="0"/>
    <w:pPr>
      <w:spacing w:after="120" w:line="480" w:lineRule="auto"/>
      <w:ind w:left="420" w:leftChars="200"/>
    </w:pPr>
  </w:style>
  <w:style w:type="paragraph" w:styleId="23">
    <w:name w:val="Balloon Text"/>
    <w:basedOn w:val="1"/>
    <w:link w:val="57"/>
    <w:semiHidden/>
    <w:qFormat/>
    <w:uiPriority w:val="0"/>
    <w:rPr>
      <w:kern w:val="0"/>
      <w:sz w:val="18"/>
      <w:szCs w:val="20"/>
    </w:rPr>
  </w:style>
  <w:style w:type="paragraph" w:styleId="24">
    <w:name w:val="footer"/>
    <w:basedOn w:val="1"/>
    <w:link w:val="49"/>
    <w:qFormat/>
    <w:uiPriority w:val="99"/>
    <w:pPr>
      <w:tabs>
        <w:tab w:val="center" w:pos="4153"/>
        <w:tab w:val="right" w:pos="8306"/>
      </w:tabs>
      <w:snapToGrid w:val="0"/>
      <w:jc w:val="left"/>
    </w:pPr>
    <w:rPr>
      <w:sz w:val="18"/>
      <w:szCs w:val="18"/>
    </w:rPr>
  </w:style>
  <w:style w:type="paragraph" w:styleId="25">
    <w:name w:val="header"/>
    <w:basedOn w:val="1"/>
    <w:link w:val="59"/>
    <w:qFormat/>
    <w:uiPriority w:val="0"/>
    <w:pPr>
      <w:tabs>
        <w:tab w:val="center" w:pos="4153"/>
        <w:tab w:val="right" w:pos="8306"/>
      </w:tabs>
      <w:snapToGrid w:val="0"/>
      <w:jc w:val="center"/>
    </w:pPr>
    <w:rPr>
      <w:kern w:val="0"/>
      <w:sz w:val="18"/>
      <w:szCs w:val="20"/>
    </w:rPr>
  </w:style>
  <w:style w:type="paragraph" w:styleId="26">
    <w:name w:val="toc 1"/>
    <w:basedOn w:val="1"/>
    <w:next w:val="1"/>
    <w:qFormat/>
    <w:locked/>
    <w:uiPriority w:val="0"/>
    <w:pPr>
      <w:spacing w:before="120" w:after="120"/>
      <w:jc w:val="left"/>
    </w:pPr>
    <w:rPr>
      <w:b/>
      <w:bCs/>
      <w:caps/>
      <w:sz w:val="20"/>
      <w:szCs w:val="20"/>
    </w:rPr>
  </w:style>
  <w:style w:type="paragraph" w:styleId="27">
    <w:name w:val="List"/>
    <w:basedOn w:val="1"/>
    <w:qFormat/>
    <w:locked/>
    <w:uiPriority w:val="0"/>
    <w:pPr>
      <w:spacing w:line="320" w:lineRule="exact"/>
      <w:jc w:val="center"/>
    </w:pPr>
    <w:rPr>
      <w:rFonts w:ascii="宋体"/>
      <w:szCs w:val="20"/>
    </w:rPr>
  </w:style>
  <w:style w:type="paragraph" w:styleId="28">
    <w:name w:val="Body Text Indent 3"/>
    <w:basedOn w:val="1"/>
    <w:link w:val="136"/>
    <w:qFormat/>
    <w:locked/>
    <w:uiPriority w:val="0"/>
    <w:pPr>
      <w:snapToGrid w:val="0"/>
      <w:spacing w:line="312" w:lineRule="auto"/>
      <w:ind w:firstLine="555"/>
    </w:pPr>
    <w:rPr>
      <w:rFonts w:eastAsia="仿宋_GB2312"/>
      <w:color w:val="FF0000"/>
      <w:sz w:val="28"/>
      <w:szCs w:val="20"/>
    </w:rPr>
  </w:style>
  <w:style w:type="paragraph" w:styleId="29">
    <w:name w:val="index 7"/>
    <w:basedOn w:val="1"/>
    <w:next w:val="1"/>
    <w:qFormat/>
    <w:locked/>
    <w:uiPriority w:val="0"/>
    <w:pPr>
      <w:ind w:left="1470" w:hanging="210"/>
      <w:jc w:val="left"/>
    </w:pPr>
    <w:rPr>
      <w:sz w:val="20"/>
      <w:szCs w:val="20"/>
    </w:rPr>
  </w:style>
  <w:style w:type="paragraph" w:styleId="30">
    <w:name w:val="toc 2"/>
    <w:basedOn w:val="1"/>
    <w:next w:val="1"/>
    <w:qFormat/>
    <w:locked/>
    <w:uiPriority w:val="0"/>
    <w:pPr>
      <w:ind w:left="280"/>
      <w:jc w:val="left"/>
    </w:pPr>
    <w:rPr>
      <w:smallCaps/>
      <w:sz w:val="20"/>
      <w:szCs w:val="20"/>
    </w:rPr>
  </w:style>
  <w:style w:type="paragraph" w:styleId="31">
    <w:name w:val="Body Text 2"/>
    <w:basedOn w:val="1"/>
    <w:link w:val="128"/>
    <w:qFormat/>
    <w:locked/>
    <w:uiPriority w:val="0"/>
    <w:rPr>
      <w:rFonts w:eastAsia="仿宋_GB2312"/>
      <w:sz w:val="28"/>
    </w:rPr>
  </w:style>
  <w:style w:type="paragraph" w:styleId="32">
    <w:name w:val="HTML Preformatted"/>
    <w:basedOn w:val="1"/>
    <w:link w:val="105"/>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33">
    <w:name w:val="Normal (Web)"/>
    <w:basedOn w:val="1"/>
    <w:link w:val="50"/>
    <w:qFormat/>
    <w:uiPriority w:val="99"/>
    <w:pPr>
      <w:widowControl/>
      <w:spacing w:before="100" w:beforeAutospacing="1" w:after="100" w:afterAutospacing="1"/>
      <w:jc w:val="left"/>
    </w:pPr>
    <w:rPr>
      <w:rFonts w:ascii="宋体" w:hAnsi="宋体"/>
      <w:kern w:val="0"/>
      <w:sz w:val="24"/>
      <w:szCs w:val="20"/>
    </w:rPr>
  </w:style>
  <w:style w:type="paragraph" w:styleId="34">
    <w:name w:val="annotation subject"/>
    <w:basedOn w:val="14"/>
    <w:next w:val="14"/>
    <w:link w:val="58"/>
    <w:semiHidden/>
    <w:qFormat/>
    <w:uiPriority w:val="0"/>
    <w:rPr>
      <w:b/>
    </w:rPr>
  </w:style>
  <w:style w:type="paragraph" w:styleId="35">
    <w:name w:val="Body Text First Indent"/>
    <w:basedOn w:val="16"/>
    <w:link w:val="138"/>
    <w:qFormat/>
    <w:locked/>
    <w:uiPriority w:val="0"/>
    <w:pPr>
      <w:widowControl w:val="0"/>
      <w:snapToGrid/>
      <w:spacing w:before="0" w:after="120" w:line="240" w:lineRule="auto"/>
      <w:ind w:right="0" w:firstLine="420" w:firstLineChars="100"/>
    </w:pPr>
    <w:rPr>
      <w:kern w:val="2"/>
      <w:sz w:val="21"/>
      <w:szCs w:val="24"/>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locked/>
    <w:uiPriority w:val="0"/>
    <w:rPr>
      <w:b/>
      <w:bCs/>
    </w:rPr>
  </w:style>
  <w:style w:type="character" w:styleId="40">
    <w:name w:val="page number"/>
    <w:basedOn w:val="38"/>
    <w:qFormat/>
    <w:locked/>
    <w:uiPriority w:val="0"/>
  </w:style>
  <w:style w:type="character" w:styleId="41">
    <w:name w:val="FollowedHyperlink"/>
    <w:qFormat/>
    <w:locked/>
    <w:uiPriority w:val="0"/>
    <w:rPr>
      <w:color w:val="800080"/>
      <w:u w:val="single"/>
    </w:rPr>
  </w:style>
  <w:style w:type="character" w:styleId="42">
    <w:name w:val="Emphasis"/>
    <w:qFormat/>
    <w:locked/>
    <w:uiPriority w:val="0"/>
    <w:rPr>
      <w:i/>
      <w:iCs/>
    </w:rPr>
  </w:style>
  <w:style w:type="character" w:styleId="43">
    <w:name w:val="Hyperlink"/>
    <w:qFormat/>
    <w:locked/>
    <w:uiPriority w:val="0"/>
    <w:rPr>
      <w:color w:val="0000FF"/>
      <w:u w:val="single"/>
    </w:rPr>
  </w:style>
  <w:style w:type="character" w:styleId="44">
    <w:name w:val="annotation reference"/>
    <w:semiHidden/>
    <w:qFormat/>
    <w:uiPriority w:val="0"/>
    <w:rPr>
      <w:sz w:val="21"/>
    </w:rPr>
  </w:style>
  <w:style w:type="paragraph" w:customStyle="1" w:styleId="45">
    <w:name w:val="Default"/>
    <w:basedOn w:val="4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6">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47">
    <w:name w:val="正文缩进2"/>
    <w:basedOn w:val="1"/>
    <w:qFormat/>
    <w:uiPriority w:val="0"/>
    <w:pPr>
      <w:spacing w:line="500" w:lineRule="exact"/>
    </w:pPr>
  </w:style>
  <w:style w:type="character" w:customStyle="1" w:styleId="48">
    <w:name w:val="日期 字符1"/>
    <w:link w:val="21"/>
    <w:qFormat/>
    <w:locked/>
    <w:uiPriority w:val="0"/>
    <w:rPr>
      <w:rFonts w:ascii="Times New Roman" w:hAnsi="Times New Roman" w:eastAsia="宋体"/>
      <w:sz w:val="24"/>
    </w:rPr>
  </w:style>
  <w:style w:type="character" w:customStyle="1" w:styleId="49">
    <w:name w:val="页脚 字符"/>
    <w:link w:val="24"/>
    <w:qFormat/>
    <w:uiPriority w:val="99"/>
    <w:rPr>
      <w:kern w:val="2"/>
      <w:sz w:val="18"/>
      <w:szCs w:val="18"/>
    </w:rPr>
  </w:style>
  <w:style w:type="character" w:customStyle="1" w:styleId="50">
    <w:name w:val="普通(网站) 字符"/>
    <w:link w:val="33"/>
    <w:qFormat/>
    <w:locked/>
    <w:uiPriority w:val="0"/>
    <w:rPr>
      <w:rFonts w:ascii="宋体" w:hAnsi="宋体" w:eastAsia="宋体"/>
      <w:sz w:val="24"/>
    </w:rPr>
  </w:style>
  <w:style w:type="character" w:customStyle="1" w:styleId="51">
    <w:name w:val="正文文本 字符1"/>
    <w:semiHidden/>
    <w:qFormat/>
    <w:uiPriority w:val="0"/>
    <w:rPr>
      <w:rFonts w:ascii="Times New Roman" w:hAnsi="Times New Roman" w:eastAsia="宋体"/>
      <w:sz w:val="24"/>
    </w:rPr>
  </w:style>
  <w:style w:type="character" w:customStyle="1" w:styleId="52">
    <w:name w:val="正文文本 字符"/>
    <w:link w:val="16"/>
    <w:qFormat/>
    <w:locked/>
    <w:uiPriority w:val="0"/>
    <w:rPr>
      <w:sz w:val="18"/>
    </w:rPr>
  </w:style>
  <w:style w:type="character" w:customStyle="1" w:styleId="53">
    <w:name w:val="批注文字 字符"/>
    <w:link w:val="14"/>
    <w:qFormat/>
    <w:locked/>
    <w:uiPriority w:val="0"/>
    <w:rPr>
      <w:rFonts w:ascii="Times New Roman" w:hAnsi="Times New Roman" w:eastAsia="宋体"/>
      <w:sz w:val="24"/>
    </w:rPr>
  </w:style>
  <w:style w:type="character" w:customStyle="1" w:styleId="54">
    <w:name w:val="表格 Char"/>
    <w:link w:val="55"/>
    <w:qFormat/>
    <w:locked/>
    <w:uiPriority w:val="0"/>
    <w:rPr>
      <w:rFonts w:ascii="宋体"/>
      <w:sz w:val="21"/>
    </w:rPr>
  </w:style>
  <w:style w:type="paragraph" w:customStyle="1" w:styleId="55">
    <w:name w:val="表格"/>
    <w:basedOn w:val="1"/>
    <w:next w:val="1"/>
    <w:link w:val="54"/>
    <w:qFormat/>
    <w:uiPriority w:val="0"/>
    <w:pPr>
      <w:adjustRightInd w:val="0"/>
      <w:snapToGrid w:val="0"/>
      <w:spacing w:beforeLines="29" w:afterLines="29" w:line="259" w:lineRule="auto"/>
      <w:jc w:val="center"/>
    </w:pPr>
    <w:rPr>
      <w:rFonts w:ascii="宋体"/>
      <w:kern w:val="0"/>
      <w:szCs w:val="20"/>
    </w:rPr>
  </w:style>
  <w:style w:type="character" w:customStyle="1" w:styleId="56">
    <w:name w:val="日期 字符"/>
    <w:semiHidden/>
    <w:qFormat/>
    <w:uiPriority w:val="0"/>
    <w:rPr>
      <w:rFonts w:ascii="Times New Roman" w:hAnsi="Times New Roman" w:eastAsia="宋体"/>
      <w:sz w:val="24"/>
    </w:rPr>
  </w:style>
  <w:style w:type="character" w:customStyle="1" w:styleId="57">
    <w:name w:val="批注框文本 字符"/>
    <w:link w:val="23"/>
    <w:semiHidden/>
    <w:qFormat/>
    <w:locked/>
    <w:uiPriority w:val="0"/>
    <w:rPr>
      <w:rFonts w:ascii="Times New Roman" w:hAnsi="Times New Roman" w:eastAsia="宋体"/>
      <w:sz w:val="18"/>
    </w:rPr>
  </w:style>
  <w:style w:type="character" w:customStyle="1" w:styleId="58">
    <w:name w:val="批注主题 字符"/>
    <w:link w:val="34"/>
    <w:semiHidden/>
    <w:qFormat/>
    <w:locked/>
    <w:uiPriority w:val="0"/>
    <w:rPr>
      <w:rFonts w:ascii="Times New Roman" w:hAnsi="Times New Roman" w:eastAsia="宋体"/>
      <w:b/>
      <w:kern w:val="2"/>
      <w:sz w:val="24"/>
    </w:rPr>
  </w:style>
  <w:style w:type="character" w:customStyle="1" w:styleId="59">
    <w:name w:val="页眉 字符"/>
    <w:link w:val="25"/>
    <w:qFormat/>
    <w:locked/>
    <w:uiPriority w:val="0"/>
    <w:rPr>
      <w:sz w:val="18"/>
    </w:rPr>
  </w:style>
  <w:style w:type="character" w:customStyle="1" w:styleId="60">
    <w:name w:val="批注文字 字符1"/>
    <w:semiHidden/>
    <w:qFormat/>
    <w:uiPriority w:val="0"/>
    <w:rPr>
      <w:rFonts w:ascii="Times New Roman" w:hAnsi="Times New Roman" w:eastAsia="宋体"/>
      <w:sz w:val="24"/>
    </w:rPr>
  </w:style>
  <w:style w:type="character" w:customStyle="1" w:styleId="61">
    <w:name w:val="正文文本缩进 字符"/>
    <w:link w:val="17"/>
    <w:qFormat/>
    <w:locked/>
    <w:uiPriority w:val="0"/>
    <w:rPr>
      <w:rFonts w:ascii="Times New Roman" w:hAnsi="Times New Roman" w:eastAsia="宋体"/>
      <w:sz w:val="24"/>
    </w:rPr>
  </w:style>
  <w:style w:type="paragraph" w:customStyle="1" w:styleId="6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3">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64">
    <w:name w:val="正文文本缩进 2 字符"/>
    <w:link w:val="22"/>
    <w:qFormat/>
    <w:uiPriority w:val="0"/>
    <w:rPr>
      <w:kern w:val="2"/>
      <w:sz w:val="21"/>
      <w:szCs w:val="24"/>
    </w:rPr>
  </w:style>
  <w:style w:type="paragraph" w:customStyle="1" w:styleId="65">
    <w:name w:val="样式1"/>
    <w:basedOn w:val="4"/>
    <w:qFormat/>
    <w:uiPriority w:val="0"/>
    <w:pPr>
      <w:tabs>
        <w:tab w:val="left" w:pos="720"/>
      </w:tabs>
      <w:snapToGrid w:val="0"/>
      <w:spacing w:before="0" w:after="0" w:line="360" w:lineRule="auto"/>
      <w:ind w:left="567" w:hanging="720"/>
    </w:pPr>
    <w:rPr>
      <w:rFonts w:eastAsia="黑体"/>
      <w:b w:val="0"/>
      <w:bCs w:val="0"/>
      <w:sz w:val="28"/>
      <w:szCs w:val="20"/>
    </w:rPr>
  </w:style>
  <w:style w:type="character" w:customStyle="1" w:styleId="66">
    <w:name w:val="标题 3 字符"/>
    <w:link w:val="4"/>
    <w:qFormat/>
    <w:uiPriority w:val="0"/>
    <w:rPr>
      <w:b/>
      <w:bCs/>
      <w:kern w:val="2"/>
      <w:sz w:val="32"/>
      <w:szCs w:val="32"/>
    </w:rPr>
  </w:style>
  <w:style w:type="paragraph" w:styleId="67">
    <w:name w:val="List Paragraph"/>
    <w:basedOn w:val="1"/>
    <w:qFormat/>
    <w:uiPriority w:val="34"/>
    <w:pPr>
      <w:ind w:firstLine="420" w:firstLineChars="200"/>
    </w:pPr>
  </w:style>
  <w:style w:type="paragraph" w:customStyle="1" w:styleId="68">
    <w:name w:val="图文框"/>
    <w:basedOn w:val="1"/>
    <w:qFormat/>
    <w:uiPriority w:val="0"/>
    <w:pPr>
      <w:autoSpaceDE w:val="0"/>
      <w:autoSpaceDN w:val="0"/>
      <w:adjustRightInd w:val="0"/>
      <w:snapToGrid w:val="0"/>
      <w:jc w:val="center"/>
    </w:pPr>
    <w:rPr>
      <w:rFonts w:ascii="宋体"/>
      <w:color w:val="000000"/>
      <w:kern w:val="28"/>
      <w:szCs w:val="20"/>
    </w:rPr>
  </w:style>
  <w:style w:type="paragraph" w:customStyle="1" w:styleId="69">
    <w:name w:val="图注"/>
    <w:basedOn w:val="1"/>
    <w:next w:val="1"/>
    <w:qFormat/>
    <w:uiPriority w:val="0"/>
    <w:pPr>
      <w:tabs>
        <w:tab w:val="left" w:pos="2625"/>
        <w:tab w:val="left" w:pos="2835"/>
      </w:tabs>
      <w:adjustRightInd w:val="0"/>
      <w:snapToGrid w:val="0"/>
      <w:jc w:val="center"/>
    </w:pPr>
    <w:rPr>
      <w:rFonts w:ascii="宋体" w:hAnsi="宋体"/>
      <w:szCs w:val="20"/>
    </w:rPr>
  </w:style>
  <w:style w:type="paragraph" w:customStyle="1" w:styleId="70">
    <w:name w:val="xl27"/>
    <w:basedOn w:val="1"/>
    <w:qFormat/>
    <w:uiPriority w:val="0"/>
    <w:pPr>
      <w:widowControl/>
      <w:spacing w:before="100" w:beforeAutospacing="1" w:after="100" w:afterAutospacing="1"/>
      <w:jc w:val="center"/>
    </w:pPr>
    <w:rPr>
      <w:rFonts w:ascii="Arial Unicode MS" w:hAnsi="Arial Unicode MS"/>
      <w:color w:val="FF0000"/>
      <w:kern w:val="0"/>
      <w:sz w:val="24"/>
      <w:szCs w:val="20"/>
    </w:rPr>
  </w:style>
  <w:style w:type="character" w:customStyle="1" w:styleId="71">
    <w:name w:val="标题 2 字符"/>
    <w:link w:val="2"/>
    <w:qFormat/>
    <w:uiPriority w:val="0"/>
    <w:rPr>
      <w:rFonts w:ascii="Arial" w:hAnsi="Arial" w:eastAsia="黑体"/>
      <w:b/>
      <w:bCs/>
      <w:kern w:val="2"/>
      <w:sz w:val="32"/>
      <w:szCs w:val="32"/>
    </w:rPr>
  </w:style>
  <w:style w:type="paragraph" w:customStyle="1" w:styleId="72">
    <w:name w:val="4"/>
    <w:basedOn w:val="1"/>
    <w:next w:val="22"/>
    <w:qFormat/>
    <w:uiPriority w:val="0"/>
    <w:pPr>
      <w:spacing w:line="500" w:lineRule="exact"/>
      <w:ind w:firstLine="560"/>
    </w:pPr>
    <w:rPr>
      <w:rFonts w:ascii="仿宋_GB2312" w:eastAsia="仿宋_GB2312"/>
      <w:color w:val="000000"/>
      <w:sz w:val="28"/>
      <w:szCs w:val="20"/>
    </w:rPr>
  </w:style>
  <w:style w:type="character" w:customStyle="1" w:styleId="73">
    <w:name w:val="标题 4 字符"/>
    <w:link w:val="5"/>
    <w:semiHidden/>
    <w:qFormat/>
    <w:uiPriority w:val="0"/>
    <w:rPr>
      <w:rFonts w:ascii="等线 Light" w:hAnsi="等线 Light" w:eastAsia="等线 Light" w:cs="Times New Roman"/>
      <w:b/>
      <w:bCs/>
      <w:kern w:val="2"/>
      <w:sz w:val="28"/>
      <w:szCs w:val="28"/>
    </w:rPr>
  </w:style>
  <w:style w:type="character" w:customStyle="1" w:styleId="74">
    <w:name w:val="正文缩进 字符"/>
    <w:link w:val="11"/>
    <w:qFormat/>
    <w:uiPriority w:val="0"/>
    <w:rPr>
      <w:kern w:val="2"/>
      <w:sz w:val="21"/>
      <w:szCs w:val="24"/>
    </w:rPr>
  </w:style>
  <w:style w:type="character" w:customStyle="1" w:styleId="75">
    <w:name w:val="纯文本 字符"/>
    <w:link w:val="20"/>
    <w:qFormat/>
    <w:uiPriority w:val="0"/>
    <w:rPr>
      <w:rFonts w:ascii="宋体" w:hAnsi="Courier New"/>
      <w:kern w:val="2"/>
      <w:sz w:val="24"/>
    </w:rPr>
  </w:style>
  <w:style w:type="character" w:customStyle="1" w:styleId="76">
    <w:name w:val="纯文本 字符1"/>
    <w:qFormat/>
    <w:uiPriority w:val="0"/>
    <w:rPr>
      <w:rFonts w:ascii="宋体" w:hAnsi="Courier New" w:cs="Courier New"/>
      <w:kern w:val="2"/>
      <w:sz w:val="21"/>
      <w:szCs w:val="21"/>
    </w:rPr>
  </w:style>
  <w:style w:type="character" w:customStyle="1" w:styleId="77">
    <w:name w:val="标题 5 字符"/>
    <w:link w:val="6"/>
    <w:qFormat/>
    <w:uiPriority w:val="0"/>
    <w:rPr>
      <w:rFonts w:eastAsia="逐浪创艺粗黑"/>
      <w:b/>
      <w:sz w:val="24"/>
    </w:rPr>
  </w:style>
  <w:style w:type="character" w:customStyle="1" w:styleId="78">
    <w:name w:val="标题 6 字符"/>
    <w:link w:val="7"/>
    <w:qFormat/>
    <w:uiPriority w:val="0"/>
    <w:rPr>
      <w:rFonts w:ascii="Arial" w:hAnsi="Arial" w:eastAsia="黑体"/>
      <w:b/>
      <w:sz w:val="24"/>
    </w:rPr>
  </w:style>
  <w:style w:type="character" w:customStyle="1" w:styleId="79">
    <w:name w:val="标题 7 字符"/>
    <w:link w:val="8"/>
    <w:qFormat/>
    <w:uiPriority w:val="0"/>
    <w:rPr>
      <w:b/>
      <w:bCs/>
      <w:kern w:val="2"/>
      <w:sz w:val="24"/>
      <w:szCs w:val="24"/>
    </w:rPr>
  </w:style>
  <w:style w:type="character" w:customStyle="1" w:styleId="80">
    <w:name w:val="标题 8 字符"/>
    <w:link w:val="9"/>
    <w:qFormat/>
    <w:uiPriority w:val="0"/>
    <w:rPr>
      <w:rFonts w:ascii="Arial" w:hAnsi="Arial" w:eastAsia="黑体"/>
      <w:kern w:val="2"/>
      <w:sz w:val="24"/>
      <w:szCs w:val="24"/>
    </w:rPr>
  </w:style>
  <w:style w:type="character" w:customStyle="1" w:styleId="81">
    <w:name w:val="标题 9 字符"/>
    <w:link w:val="10"/>
    <w:qFormat/>
    <w:uiPriority w:val="0"/>
    <w:rPr>
      <w:rFonts w:ascii="Arial" w:hAnsi="Arial" w:eastAsia="黑体"/>
      <w:kern w:val="2"/>
      <w:sz w:val="21"/>
      <w:szCs w:val="21"/>
    </w:rPr>
  </w:style>
  <w:style w:type="character" w:customStyle="1" w:styleId="82">
    <w:name w:val="标题 1 字符"/>
    <w:link w:val="3"/>
    <w:qFormat/>
    <w:uiPriority w:val="0"/>
    <w:rPr>
      <w:rFonts w:eastAsia="黑体"/>
      <w:b/>
      <w:bCs/>
      <w:color w:val="000000"/>
      <w:kern w:val="44"/>
      <w:sz w:val="30"/>
      <w:szCs w:val="30"/>
    </w:rPr>
  </w:style>
  <w:style w:type="character" w:customStyle="1" w:styleId="83">
    <w:name w:val="+正文 Char"/>
    <w:link w:val="84"/>
    <w:qFormat/>
    <w:uiPriority w:val="0"/>
    <w:rPr>
      <w:kern w:val="2"/>
      <w:sz w:val="28"/>
      <w:szCs w:val="28"/>
    </w:rPr>
  </w:style>
  <w:style w:type="paragraph" w:customStyle="1" w:styleId="84">
    <w:name w:val="+正文"/>
    <w:basedOn w:val="1"/>
    <w:link w:val="83"/>
    <w:qFormat/>
    <w:uiPriority w:val="0"/>
    <w:pPr>
      <w:spacing w:line="360" w:lineRule="auto"/>
      <w:ind w:firstLine="200" w:firstLineChars="200"/>
    </w:pPr>
    <w:rPr>
      <w:sz w:val="28"/>
      <w:szCs w:val="28"/>
    </w:rPr>
  </w:style>
  <w:style w:type="character" w:customStyle="1" w:styleId="85">
    <w:name w:val="style4"/>
    <w:basedOn w:val="38"/>
    <w:qFormat/>
    <w:uiPriority w:val="0"/>
  </w:style>
  <w:style w:type="character" w:customStyle="1" w:styleId="86">
    <w:name w:val="样式8 Char"/>
    <w:link w:val="87"/>
    <w:qFormat/>
    <w:uiPriority w:val="0"/>
    <w:rPr>
      <w:kern w:val="2"/>
      <w:sz w:val="18"/>
      <w:szCs w:val="18"/>
    </w:rPr>
  </w:style>
  <w:style w:type="paragraph" w:customStyle="1" w:styleId="87">
    <w:name w:val="样式8"/>
    <w:basedOn w:val="25"/>
    <w:link w:val="86"/>
    <w:qFormat/>
    <w:uiPriority w:val="0"/>
    <w:rPr>
      <w:kern w:val="2"/>
      <w:szCs w:val="18"/>
    </w:rPr>
  </w:style>
  <w:style w:type="character" w:customStyle="1" w:styleId="88">
    <w:name w:val="文本条款 Char2"/>
    <w:qFormat/>
    <w:uiPriority w:val="0"/>
    <w:rPr>
      <w:rFonts w:ascii="宋体" w:eastAsia="宋体"/>
      <w:kern w:val="2"/>
      <w:sz w:val="28"/>
      <w:lang w:val="en-US" w:eastAsia="zh-CN"/>
    </w:rPr>
  </w:style>
  <w:style w:type="character" w:customStyle="1" w:styleId="89">
    <w:name w:val="正文缩进 Char1"/>
    <w:qFormat/>
    <w:uiPriority w:val="0"/>
    <w:rPr>
      <w:rFonts w:eastAsia="宋体"/>
      <w:kern w:val="2"/>
      <w:sz w:val="21"/>
      <w:szCs w:val="24"/>
      <w:lang w:val="en-US" w:eastAsia="zh-CN" w:bidi="ar-SA"/>
    </w:rPr>
  </w:style>
  <w:style w:type="character" w:customStyle="1" w:styleId="90">
    <w:name w:val="正文（首行缩进两字） Char Char Char Char Char Char1"/>
    <w:qFormat/>
    <w:uiPriority w:val="0"/>
    <w:rPr>
      <w:rFonts w:eastAsia="宋体"/>
      <w:kern w:val="2"/>
      <w:sz w:val="21"/>
      <w:szCs w:val="24"/>
      <w:lang w:val="en-US" w:eastAsia="zh-CN" w:bidi="ar-SA"/>
    </w:rPr>
  </w:style>
  <w:style w:type="character" w:customStyle="1" w:styleId="91">
    <w:name w:val="unnamed21"/>
    <w:qFormat/>
    <w:uiPriority w:val="0"/>
    <w:rPr>
      <w:color w:val="000000"/>
    </w:rPr>
  </w:style>
  <w:style w:type="character" w:customStyle="1" w:styleId="92">
    <w:name w:val="Char3 Char"/>
    <w:link w:val="93"/>
    <w:qFormat/>
    <w:uiPriority w:val="0"/>
    <w:rPr>
      <w:rFonts w:ascii="Arial" w:hAnsi="Arial" w:eastAsia="仿宋_GB2312"/>
      <w:sz w:val="28"/>
    </w:rPr>
  </w:style>
  <w:style w:type="paragraph" w:customStyle="1" w:styleId="93">
    <w:name w:val="Char3"/>
    <w:basedOn w:val="1"/>
    <w:link w:val="92"/>
    <w:qFormat/>
    <w:uiPriority w:val="0"/>
    <w:rPr>
      <w:rFonts w:ascii="Arial" w:hAnsi="Arial" w:eastAsia="仿宋_GB2312"/>
      <w:kern w:val="0"/>
      <w:sz w:val="28"/>
      <w:szCs w:val="20"/>
    </w:rPr>
  </w:style>
  <w:style w:type="character" w:customStyle="1" w:styleId="94">
    <w:name w:val="-*+ Char"/>
    <w:qFormat/>
    <w:uiPriority w:val="0"/>
    <w:rPr>
      <w:rFonts w:eastAsia="宋体"/>
      <w:b/>
      <w:bCs/>
      <w:kern w:val="44"/>
      <w:sz w:val="44"/>
      <w:szCs w:val="44"/>
      <w:lang w:val="en-US" w:eastAsia="zh-CN" w:bidi="ar-SA"/>
    </w:rPr>
  </w:style>
  <w:style w:type="character" w:customStyle="1" w:styleId="95">
    <w:name w:val="表格文字 Char"/>
    <w:link w:val="96"/>
    <w:qFormat/>
    <w:uiPriority w:val="0"/>
    <w:rPr>
      <w:kern w:val="2"/>
      <w:sz w:val="21"/>
    </w:rPr>
  </w:style>
  <w:style w:type="paragraph" w:customStyle="1" w:styleId="96">
    <w:name w:val="表格文字"/>
    <w:basedOn w:val="1"/>
    <w:link w:val="95"/>
    <w:qFormat/>
    <w:uiPriority w:val="0"/>
    <w:pPr>
      <w:spacing w:line="240" w:lineRule="atLeast"/>
      <w:jc w:val="center"/>
    </w:pPr>
    <w:rPr>
      <w:szCs w:val="20"/>
    </w:rPr>
  </w:style>
  <w:style w:type="character" w:customStyle="1" w:styleId="97">
    <w:name w:val="表格字体 Char"/>
    <w:link w:val="98"/>
    <w:qFormat/>
    <w:locked/>
    <w:uiPriority w:val="0"/>
    <w:rPr>
      <w:snapToGrid w:val="0"/>
      <w:kern w:val="2"/>
      <w:sz w:val="21"/>
      <w:szCs w:val="21"/>
    </w:rPr>
  </w:style>
  <w:style w:type="paragraph" w:customStyle="1" w:styleId="98">
    <w:name w:val="表格字体"/>
    <w:basedOn w:val="1"/>
    <w:next w:val="1"/>
    <w:link w:val="97"/>
    <w:qFormat/>
    <w:uiPriority w:val="0"/>
    <w:pPr>
      <w:adjustRightInd w:val="0"/>
      <w:snapToGrid w:val="0"/>
      <w:spacing w:beforeLines="20" w:afterLines="20"/>
      <w:jc w:val="center"/>
    </w:pPr>
    <w:rPr>
      <w:snapToGrid w:val="0"/>
      <w:szCs w:val="21"/>
    </w:rPr>
  </w:style>
  <w:style w:type="character" w:customStyle="1" w:styleId="99">
    <w:name w:val="jq1"/>
    <w:qFormat/>
    <w:uiPriority w:val="0"/>
    <w:rPr>
      <w:rFonts w:hint="eastAsia" w:ascii="宋体" w:hAnsi="宋体" w:eastAsia="宋体"/>
      <w:sz w:val="18"/>
      <w:szCs w:val="18"/>
    </w:rPr>
  </w:style>
  <w:style w:type="character" w:customStyle="1" w:styleId="100">
    <w:name w:val="样式2 Char"/>
    <w:link w:val="101"/>
    <w:qFormat/>
    <w:uiPriority w:val="0"/>
    <w:rPr>
      <w:kern w:val="2"/>
      <w:sz w:val="18"/>
      <w:szCs w:val="18"/>
    </w:rPr>
  </w:style>
  <w:style w:type="paragraph" w:customStyle="1" w:styleId="101">
    <w:name w:val="样式2"/>
    <w:basedOn w:val="25"/>
    <w:link w:val="100"/>
    <w:qFormat/>
    <w:uiPriority w:val="0"/>
    <w:rPr>
      <w:kern w:val="2"/>
      <w:szCs w:val="18"/>
    </w:rPr>
  </w:style>
  <w:style w:type="character" w:customStyle="1" w:styleId="102">
    <w:name w:val="Char Char14"/>
    <w:qFormat/>
    <w:uiPriority w:val="0"/>
    <w:rPr>
      <w:rFonts w:ascii="宋体" w:hAnsi="Courier New" w:eastAsia="宋体"/>
      <w:kern w:val="2"/>
      <w:sz w:val="21"/>
      <w:lang w:val="en-US" w:eastAsia="zh-CN" w:bidi="ar-SA"/>
    </w:rPr>
  </w:style>
  <w:style w:type="character" w:customStyle="1" w:styleId="103">
    <w:name w:val="样式9 Char"/>
    <w:link w:val="104"/>
    <w:qFormat/>
    <w:uiPriority w:val="0"/>
    <w:rPr>
      <w:kern w:val="2"/>
      <w:sz w:val="18"/>
      <w:szCs w:val="18"/>
    </w:rPr>
  </w:style>
  <w:style w:type="paragraph" w:customStyle="1" w:styleId="104">
    <w:name w:val="样式9"/>
    <w:basedOn w:val="25"/>
    <w:link w:val="103"/>
    <w:qFormat/>
    <w:uiPriority w:val="0"/>
    <w:rPr>
      <w:kern w:val="2"/>
      <w:szCs w:val="18"/>
    </w:rPr>
  </w:style>
  <w:style w:type="character" w:customStyle="1" w:styleId="105">
    <w:name w:val="HTML 预设格式 字符"/>
    <w:link w:val="32"/>
    <w:qFormat/>
    <w:uiPriority w:val="0"/>
    <w:rPr>
      <w:rFonts w:ascii="黑体" w:hAnsi="Courier New" w:eastAsia="黑体" w:cs="Courier New"/>
    </w:rPr>
  </w:style>
  <w:style w:type="character" w:customStyle="1" w:styleId="106">
    <w:name w:val="HTML 预设格式 字符1"/>
    <w:qFormat/>
    <w:uiPriority w:val="0"/>
    <w:rPr>
      <w:rFonts w:ascii="Courier New" w:hAnsi="Courier New" w:cs="Courier New"/>
      <w:kern w:val="2"/>
    </w:rPr>
  </w:style>
  <w:style w:type="character" w:customStyle="1" w:styleId="107">
    <w:name w:val="样式7 Char"/>
    <w:link w:val="108"/>
    <w:qFormat/>
    <w:uiPriority w:val="0"/>
    <w:rPr>
      <w:kern w:val="2"/>
      <w:sz w:val="18"/>
      <w:szCs w:val="18"/>
    </w:rPr>
  </w:style>
  <w:style w:type="paragraph" w:customStyle="1" w:styleId="108">
    <w:name w:val="样式7"/>
    <w:basedOn w:val="25"/>
    <w:link w:val="107"/>
    <w:qFormat/>
    <w:uiPriority w:val="0"/>
    <w:rPr>
      <w:kern w:val="2"/>
      <w:szCs w:val="18"/>
    </w:rPr>
  </w:style>
  <w:style w:type="character" w:customStyle="1" w:styleId="109">
    <w:name w:val="正文（首行缩进两字） Char Char Char"/>
    <w:qFormat/>
    <w:uiPriority w:val="0"/>
    <w:rPr>
      <w:rFonts w:eastAsia="宋体"/>
      <w:kern w:val="2"/>
      <w:sz w:val="21"/>
      <w:lang w:val="en-US" w:eastAsia="zh-CN"/>
    </w:rPr>
  </w:style>
  <w:style w:type="character" w:customStyle="1" w:styleId="110">
    <w:name w:val="l_21"/>
    <w:qFormat/>
    <w:uiPriority w:val="0"/>
    <w:rPr>
      <w:color w:val="000000"/>
      <w:sz w:val="18"/>
      <w:szCs w:val="18"/>
      <w:u w:val="none"/>
    </w:rPr>
  </w:style>
  <w:style w:type="character" w:customStyle="1" w:styleId="111">
    <w:name w:val="description"/>
    <w:basedOn w:val="38"/>
    <w:qFormat/>
    <w:uiPriority w:val="0"/>
  </w:style>
  <w:style w:type="character" w:customStyle="1" w:styleId="112">
    <w:name w:val="正正文 Char"/>
    <w:link w:val="113"/>
    <w:qFormat/>
    <w:uiPriority w:val="0"/>
    <w:rPr>
      <w:rFonts w:eastAsia="仿宋_GB2312"/>
      <w:sz w:val="28"/>
      <w:szCs w:val="28"/>
    </w:rPr>
  </w:style>
  <w:style w:type="paragraph" w:customStyle="1" w:styleId="113">
    <w:name w:val="正正文"/>
    <w:basedOn w:val="1"/>
    <w:link w:val="112"/>
    <w:qFormat/>
    <w:uiPriority w:val="0"/>
    <w:pPr>
      <w:adjustRightInd w:val="0"/>
      <w:snapToGrid w:val="0"/>
      <w:spacing w:line="324" w:lineRule="auto"/>
      <w:ind w:firstLine="560" w:firstLineChars="200"/>
      <w:jc w:val="left"/>
    </w:pPr>
    <w:rPr>
      <w:rFonts w:eastAsia="仿宋_GB2312"/>
      <w:kern w:val="0"/>
      <w:sz w:val="28"/>
      <w:szCs w:val="28"/>
    </w:rPr>
  </w:style>
  <w:style w:type="character" w:customStyle="1" w:styleId="114">
    <w:name w:val="样式5 Char"/>
    <w:link w:val="115"/>
    <w:qFormat/>
    <w:uiPriority w:val="0"/>
    <w:rPr>
      <w:kern w:val="2"/>
      <w:sz w:val="18"/>
      <w:szCs w:val="18"/>
    </w:rPr>
  </w:style>
  <w:style w:type="paragraph" w:customStyle="1" w:styleId="115">
    <w:name w:val="样式5"/>
    <w:basedOn w:val="25"/>
    <w:next w:val="65"/>
    <w:link w:val="114"/>
    <w:qFormat/>
    <w:uiPriority w:val="0"/>
    <w:rPr>
      <w:kern w:val="2"/>
      <w:szCs w:val="18"/>
    </w:rPr>
  </w:style>
  <w:style w:type="character" w:customStyle="1" w:styleId="116">
    <w:name w:val="正文 4 Char"/>
    <w:link w:val="117"/>
    <w:qFormat/>
    <w:locked/>
    <w:uiPriority w:val="0"/>
    <w:rPr>
      <w:rFonts w:ascii="宋体" w:hAnsi="宋体"/>
      <w:sz w:val="24"/>
      <w:szCs w:val="24"/>
    </w:rPr>
  </w:style>
  <w:style w:type="paragraph" w:customStyle="1" w:styleId="117">
    <w:name w:val="正文 4"/>
    <w:basedOn w:val="1"/>
    <w:link w:val="116"/>
    <w:qFormat/>
    <w:uiPriority w:val="0"/>
    <w:pPr>
      <w:autoSpaceDE w:val="0"/>
      <w:autoSpaceDN w:val="0"/>
      <w:adjustRightInd w:val="0"/>
      <w:snapToGrid w:val="0"/>
      <w:spacing w:line="480" w:lineRule="atLeast"/>
      <w:ind w:firstLine="480" w:firstLineChars="200"/>
    </w:pPr>
    <w:rPr>
      <w:rFonts w:ascii="宋体" w:hAnsi="宋体"/>
      <w:kern w:val="0"/>
      <w:sz w:val="24"/>
    </w:rPr>
  </w:style>
  <w:style w:type="character" w:customStyle="1" w:styleId="118">
    <w:name w:val="样式3 Char"/>
    <w:link w:val="119"/>
    <w:qFormat/>
    <w:uiPriority w:val="0"/>
    <w:rPr>
      <w:kern w:val="2"/>
      <w:sz w:val="18"/>
      <w:szCs w:val="18"/>
    </w:rPr>
  </w:style>
  <w:style w:type="paragraph" w:customStyle="1" w:styleId="119">
    <w:name w:val="样式3"/>
    <w:basedOn w:val="25"/>
    <w:link w:val="118"/>
    <w:qFormat/>
    <w:uiPriority w:val="0"/>
    <w:rPr>
      <w:kern w:val="2"/>
      <w:szCs w:val="18"/>
    </w:rPr>
  </w:style>
  <w:style w:type="character" w:customStyle="1" w:styleId="120">
    <w:name w:val="标题 2 Char Char Char"/>
    <w:qFormat/>
    <w:uiPriority w:val="0"/>
    <w:rPr>
      <w:rFonts w:ascii="仿宋_GB2312" w:hAnsi="宋体" w:eastAsia="仿宋_GB2312"/>
      <w:b/>
      <w:kern w:val="2"/>
      <w:sz w:val="28"/>
      <w:lang w:val="en-US" w:eastAsia="zh-CN"/>
    </w:rPr>
  </w:style>
  <w:style w:type="character" w:customStyle="1" w:styleId="121">
    <w:name w:val="样式4 Char"/>
    <w:link w:val="122"/>
    <w:qFormat/>
    <w:uiPriority w:val="0"/>
    <w:rPr>
      <w:kern w:val="2"/>
      <w:sz w:val="18"/>
      <w:szCs w:val="18"/>
    </w:rPr>
  </w:style>
  <w:style w:type="paragraph" w:customStyle="1" w:styleId="122">
    <w:name w:val="样式4"/>
    <w:basedOn w:val="25"/>
    <w:link w:val="121"/>
    <w:qFormat/>
    <w:uiPriority w:val="0"/>
    <w:rPr>
      <w:kern w:val="2"/>
      <w:szCs w:val="18"/>
    </w:rPr>
  </w:style>
  <w:style w:type="character" w:customStyle="1" w:styleId="123">
    <w:name w:val="样式6 Char"/>
    <w:link w:val="124"/>
    <w:qFormat/>
    <w:uiPriority w:val="0"/>
    <w:rPr>
      <w:rFonts w:hAnsi="宋体"/>
      <w:kern w:val="2"/>
      <w:sz w:val="21"/>
      <w:szCs w:val="21"/>
    </w:rPr>
  </w:style>
  <w:style w:type="paragraph" w:customStyle="1" w:styleId="124">
    <w:name w:val="样式6"/>
    <w:basedOn w:val="115"/>
    <w:link w:val="123"/>
    <w:qFormat/>
    <w:uiPriority w:val="0"/>
    <w:pPr>
      <w:spacing w:line="240" w:lineRule="exact"/>
    </w:pPr>
    <w:rPr>
      <w:rFonts w:hAnsi="宋体"/>
      <w:sz w:val="21"/>
      <w:szCs w:val="21"/>
    </w:rPr>
  </w:style>
  <w:style w:type="character" w:customStyle="1" w:styleId="125">
    <w:name w:val="环评正文 Char"/>
    <w:link w:val="126"/>
    <w:qFormat/>
    <w:uiPriority w:val="0"/>
    <w:rPr>
      <w:rFonts w:ascii="仿宋_GB2312" w:eastAsia="仿宋_GB2312"/>
      <w:kern w:val="2"/>
      <w:sz w:val="28"/>
    </w:rPr>
  </w:style>
  <w:style w:type="paragraph" w:customStyle="1" w:styleId="126">
    <w:name w:val="环评正文"/>
    <w:basedOn w:val="21"/>
    <w:link w:val="125"/>
    <w:qFormat/>
    <w:uiPriority w:val="0"/>
    <w:pPr>
      <w:spacing w:line="500" w:lineRule="exact"/>
      <w:ind w:left="0" w:leftChars="0" w:firstLine="560" w:firstLineChars="200"/>
    </w:pPr>
    <w:rPr>
      <w:rFonts w:ascii="仿宋_GB2312" w:eastAsia="仿宋_GB2312"/>
      <w:kern w:val="2"/>
      <w:sz w:val="28"/>
    </w:rPr>
  </w:style>
  <w:style w:type="paragraph" w:customStyle="1" w:styleId="127">
    <w:name w:val="Char Char Char Char"/>
    <w:basedOn w:val="1"/>
    <w:qFormat/>
    <w:uiPriority w:val="0"/>
    <w:rPr>
      <w:sz w:val="24"/>
    </w:rPr>
  </w:style>
  <w:style w:type="character" w:customStyle="1" w:styleId="128">
    <w:name w:val="正文文本 2 字符"/>
    <w:link w:val="31"/>
    <w:qFormat/>
    <w:uiPriority w:val="0"/>
    <w:rPr>
      <w:rFonts w:eastAsia="仿宋_GB2312"/>
      <w:kern w:val="2"/>
      <w:sz w:val="28"/>
      <w:szCs w:val="24"/>
    </w:rPr>
  </w:style>
  <w:style w:type="paragraph" w:customStyle="1" w:styleId="129">
    <w:name w:val="Char Char2 Char Char"/>
    <w:basedOn w:val="1"/>
    <w:qFormat/>
    <w:uiPriority w:val="0"/>
    <w:rPr>
      <w:rFonts w:ascii="宋体"/>
      <w:sz w:val="28"/>
      <w:szCs w:val="20"/>
    </w:rPr>
  </w:style>
  <w:style w:type="paragraph" w:customStyle="1" w:styleId="130">
    <w:name w:val="reader-word-layer reader-word-s3-8"/>
    <w:basedOn w:val="1"/>
    <w:qFormat/>
    <w:uiPriority w:val="0"/>
    <w:pPr>
      <w:widowControl/>
      <w:spacing w:before="100" w:beforeAutospacing="1" w:after="100" w:afterAutospacing="1"/>
      <w:jc w:val="left"/>
    </w:pPr>
    <w:rPr>
      <w:rFonts w:ascii="宋体" w:hAnsi="宋体" w:cs="宋体"/>
      <w:kern w:val="0"/>
      <w:sz w:val="24"/>
    </w:rPr>
  </w:style>
  <w:style w:type="paragraph" w:customStyle="1" w:styleId="131">
    <w:name w:val="reader-word-layer reader-word-s3-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2">
    <w:name w:val="Char"/>
    <w:basedOn w:val="1"/>
    <w:qFormat/>
    <w:uiPriority w:val="0"/>
  </w:style>
  <w:style w:type="character" w:customStyle="1" w:styleId="133">
    <w:name w:val="文档结构图 字符"/>
    <w:link w:val="13"/>
    <w:qFormat/>
    <w:uiPriority w:val="0"/>
    <w:rPr>
      <w:kern w:val="2"/>
      <w:sz w:val="21"/>
      <w:szCs w:val="24"/>
      <w:shd w:val="clear" w:color="auto" w:fill="000080"/>
    </w:rPr>
  </w:style>
  <w:style w:type="paragraph" w:customStyle="1" w:styleId="134">
    <w:name w:val="Char Char4 Char Char Char Char"/>
    <w:basedOn w:val="1"/>
    <w:next w:val="1"/>
    <w:qFormat/>
    <w:uiPriority w:val="0"/>
    <w:pPr>
      <w:spacing w:beforeLines="50" w:afterLines="50"/>
      <w:jc w:val="center"/>
    </w:pPr>
  </w:style>
  <w:style w:type="paragraph" w:customStyle="1" w:styleId="135">
    <w:name w:val="图型标题"/>
    <w:basedOn w:val="1"/>
    <w:qFormat/>
    <w:uiPriority w:val="0"/>
    <w:pPr>
      <w:spacing w:beforeLines="50" w:afterLines="50" w:line="500" w:lineRule="exact"/>
      <w:ind w:firstLine="200" w:firstLineChars="200"/>
      <w:jc w:val="center"/>
    </w:pPr>
    <w:rPr>
      <w:rFonts w:ascii="黑体" w:eastAsia="黑体"/>
      <w:sz w:val="24"/>
      <w:szCs w:val="20"/>
    </w:rPr>
  </w:style>
  <w:style w:type="character" w:customStyle="1" w:styleId="136">
    <w:name w:val="正文文本缩进 3 字符"/>
    <w:link w:val="28"/>
    <w:qFormat/>
    <w:uiPriority w:val="0"/>
    <w:rPr>
      <w:rFonts w:eastAsia="仿宋_GB2312"/>
      <w:color w:val="FF0000"/>
      <w:kern w:val="2"/>
      <w:sz w:val="28"/>
    </w:rPr>
  </w:style>
  <w:style w:type="character" w:customStyle="1" w:styleId="137">
    <w:name w:val="正文文本 3 字符"/>
    <w:link w:val="15"/>
    <w:qFormat/>
    <w:uiPriority w:val="0"/>
    <w:rPr>
      <w:rFonts w:eastAsia="仿宋_GB2312"/>
      <w:kern w:val="2"/>
      <w:sz w:val="24"/>
      <w:szCs w:val="24"/>
    </w:rPr>
  </w:style>
  <w:style w:type="character" w:customStyle="1" w:styleId="138">
    <w:name w:val="正文文本首行缩进 字符"/>
    <w:link w:val="35"/>
    <w:qFormat/>
    <w:uiPriority w:val="0"/>
    <w:rPr>
      <w:kern w:val="2"/>
      <w:sz w:val="21"/>
      <w:szCs w:val="24"/>
    </w:rPr>
  </w:style>
  <w:style w:type="paragraph" w:customStyle="1" w:styleId="139">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0">
    <w:name w:val="reader-word-layer reader-word-s3-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41">
    <w:name w:val="reader-word-layer reader-word-s4-0"/>
    <w:basedOn w:val="1"/>
    <w:qFormat/>
    <w:uiPriority w:val="0"/>
    <w:pPr>
      <w:widowControl/>
      <w:spacing w:before="100" w:beforeAutospacing="1" w:after="100" w:afterAutospacing="1"/>
      <w:jc w:val="left"/>
    </w:pPr>
    <w:rPr>
      <w:rFonts w:ascii="宋体" w:hAnsi="宋体" w:cs="宋体"/>
      <w:kern w:val="0"/>
      <w:sz w:val="24"/>
    </w:rPr>
  </w:style>
  <w:style w:type="paragraph" w:customStyle="1" w:styleId="142">
    <w:name w:val="reader-word-layer reader-word-s2-16"/>
    <w:basedOn w:val="1"/>
    <w:qFormat/>
    <w:uiPriority w:val="0"/>
    <w:pPr>
      <w:widowControl/>
      <w:spacing w:before="100" w:beforeAutospacing="1" w:after="100" w:afterAutospacing="1"/>
      <w:jc w:val="left"/>
    </w:pPr>
    <w:rPr>
      <w:rFonts w:ascii="宋体" w:hAnsi="宋体" w:cs="宋体"/>
      <w:kern w:val="0"/>
      <w:sz w:val="24"/>
    </w:rPr>
  </w:style>
  <w:style w:type="paragraph" w:customStyle="1" w:styleId="143">
    <w:name w:val="正文编号小标题次"/>
    <w:basedOn w:val="1"/>
    <w:qFormat/>
    <w:uiPriority w:val="0"/>
    <w:pPr>
      <w:widowControl/>
      <w:kinsoku w:val="0"/>
      <w:autoSpaceDE w:val="0"/>
      <w:autoSpaceDN w:val="0"/>
      <w:adjustRightInd w:val="0"/>
      <w:snapToGrid w:val="0"/>
      <w:jc w:val="center"/>
    </w:pPr>
    <w:rPr>
      <w:rFonts w:ascii="宋体" w:hAnsi="宋体"/>
      <w:spacing w:val="10"/>
      <w:kern w:val="0"/>
      <w:sz w:val="24"/>
      <w:szCs w:val="20"/>
    </w:rPr>
  </w:style>
  <w:style w:type="paragraph" w:customStyle="1" w:styleId="144">
    <w:name w:val="3"/>
    <w:basedOn w:val="1"/>
    <w:qFormat/>
    <w:uiPriority w:val="0"/>
    <w:rPr>
      <w:sz w:val="24"/>
    </w:rPr>
  </w:style>
  <w:style w:type="paragraph" w:customStyle="1" w:styleId="145">
    <w:name w:val="reader-word-layer reader-word-s1-15"/>
    <w:basedOn w:val="1"/>
    <w:qFormat/>
    <w:uiPriority w:val="0"/>
    <w:pPr>
      <w:widowControl/>
      <w:spacing w:before="100" w:beforeAutospacing="1" w:after="100" w:afterAutospacing="1"/>
      <w:jc w:val="left"/>
    </w:pPr>
    <w:rPr>
      <w:rFonts w:ascii="宋体" w:hAnsi="宋体" w:cs="宋体"/>
      <w:kern w:val="0"/>
      <w:sz w:val="24"/>
    </w:rPr>
  </w:style>
  <w:style w:type="paragraph" w:customStyle="1" w:styleId="146">
    <w:name w:val="reader-word-layer reader-word-s3-7"/>
    <w:basedOn w:val="1"/>
    <w:qFormat/>
    <w:uiPriority w:val="0"/>
    <w:pPr>
      <w:widowControl/>
      <w:spacing w:before="100" w:beforeAutospacing="1" w:after="100" w:afterAutospacing="1"/>
      <w:jc w:val="left"/>
    </w:pPr>
    <w:rPr>
      <w:rFonts w:ascii="宋体" w:hAnsi="宋体" w:cs="宋体"/>
      <w:kern w:val="0"/>
      <w:sz w:val="24"/>
    </w:rPr>
  </w:style>
  <w:style w:type="paragraph" w:customStyle="1" w:styleId="147">
    <w:name w:val="reader-word-layer reader-word-s1-7"/>
    <w:basedOn w:val="1"/>
    <w:qFormat/>
    <w:uiPriority w:val="0"/>
    <w:pPr>
      <w:widowControl/>
      <w:spacing w:before="100" w:beforeAutospacing="1" w:after="100" w:afterAutospacing="1"/>
      <w:jc w:val="left"/>
    </w:pPr>
    <w:rPr>
      <w:rFonts w:ascii="宋体" w:hAnsi="宋体" w:cs="宋体"/>
      <w:kern w:val="0"/>
      <w:sz w:val="24"/>
    </w:rPr>
  </w:style>
  <w:style w:type="paragraph" w:customStyle="1" w:styleId="148">
    <w:name w:val="p16"/>
    <w:basedOn w:val="1"/>
    <w:qFormat/>
    <w:uiPriority w:val="0"/>
    <w:pPr>
      <w:widowControl/>
      <w:spacing w:line="320" w:lineRule="atLeast"/>
      <w:jc w:val="center"/>
    </w:pPr>
    <w:rPr>
      <w:rFonts w:ascii="宋体" w:hAnsi="宋体" w:cs="宋体"/>
      <w:kern w:val="0"/>
      <w:szCs w:val="21"/>
    </w:rPr>
  </w:style>
  <w:style w:type="paragraph" w:customStyle="1" w:styleId="149">
    <w:name w:val="reader-word-layer reader-word-s2-20 reader-word-s2-21"/>
    <w:basedOn w:val="1"/>
    <w:qFormat/>
    <w:uiPriority w:val="0"/>
    <w:pPr>
      <w:widowControl/>
      <w:spacing w:before="100" w:beforeAutospacing="1" w:after="100" w:afterAutospacing="1"/>
      <w:jc w:val="left"/>
    </w:pPr>
    <w:rPr>
      <w:rFonts w:ascii="宋体" w:hAnsi="宋体" w:cs="宋体"/>
      <w:kern w:val="0"/>
      <w:sz w:val="24"/>
    </w:rPr>
  </w:style>
  <w:style w:type="paragraph" w:customStyle="1" w:styleId="150">
    <w:name w:val="Char Char1 Char Char Char Char1"/>
    <w:basedOn w:val="1"/>
    <w:qFormat/>
    <w:uiPriority w:val="0"/>
    <w:rPr>
      <w:sz w:val="24"/>
    </w:rPr>
  </w:style>
  <w:style w:type="paragraph" w:customStyle="1" w:styleId="151">
    <w:name w:val="reader-word-layer reader-word-s1-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52">
    <w:name w:val="reader-word-layer reader-word-s2-22"/>
    <w:basedOn w:val="1"/>
    <w:qFormat/>
    <w:uiPriority w:val="0"/>
    <w:pPr>
      <w:widowControl/>
      <w:spacing w:before="100" w:beforeAutospacing="1" w:after="100" w:afterAutospacing="1"/>
      <w:jc w:val="left"/>
    </w:pPr>
    <w:rPr>
      <w:rFonts w:ascii="宋体" w:hAnsi="宋体" w:cs="宋体"/>
      <w:kern w:val="0"/>
      <w:sz w:val="24"/>
    </w:rPr>
  </w:style>
  <w:style w:type="paragraph" w:customStyle="1" w:styleId="153">
    <w:name w:val="Char1"/>
    <w:basedOn w:val="1"/>
    <w:qFormat/>
    <w:uiPriority w:val="0"/>
    <w:rPr>
      <w:rFonts w:ascii="宋体"/>
      <w:sz w:val="28"/>
      <w:szCs w:val="20"/>
    </w:rPr>
  </w:style>
  <w:style w:type="paragraph" w:customStyle="1" w:styleId="154">
    <w:name w:val="reader-word-layer reader-word-s1-2 reader-word-s1-6"/>
    <w:basedOn w:val="1"/>
    <w:qFormat/>
    <w:uiPriority w:val="0"/>
    <w:pPr>
      <w:widowControl/>
      <w:spacing w:before="100" w:beforeAutospacing="1" w:after="100" w:afterAutospacing="1"/>
      <w:jc w:val="left"/>
    </w:pPr>
    <w:rPr>
      <w:rFonts w:ascii="宋体" w:hAnsi="宋体" w:cs="宋体"/>
      <w:kern w:val="0"/>
      <w:sz w:val="24"/>
    </w:rPr>
  </w:style>
  <w:style w:type="paragraph" w:customStyle="1" w:styleId="155">
    <w:name w:val="标题1 Char Char Char"/>
    <w:basedOn w:val="1"/>
    <w:next w:val="1"/>
    <w:qFormat/>
    <w:uiPriority w:val="0"/>
    <w:pPr>
      <w:spacing w:beforeLines="50" w:afterLines="50"/>
      <w:jc w:val="center"/>
    </w:pPr>
  </w:style>
  <w:style w:type="paragraph" w:customStyle="1" w:styleId="156">
    <w:name w:val="Char Char2"/>
    <w:basedOn w:val="1"/>
    <w:qFormat/>
    <w:uiPriority w:val="0"/>
    <w:rPr>
      <w:sz w:val="24"/>
    </w:rPr>
  </w:style>
  <w:style w:type="paragraph" w:customStyle="1" w:styleId="157">
    <w:name w:val="表格字体1"/>
    <w:basedOn w:val="1"/>
    <w:qFormat/>
    <w:uiPriority w:val="0"/>
    <w:pPr>
      <w:widowControl/>
      <w:adjustRightInd w:val="0"/>
      <w:snapToGrid w:val="0"/>
      <w:spacing w:beforeLines="20" w:afterLines="20"/>
      <w:jc w:val="center"/>
    </w:pPr>
    <w:rPr>
      <w:color w:val="000000"/>
      <w:kern w:val="0"/>
      <w:szCs w:val="21"/>
    </w:rPr>
  </w:style>
  <w:style w:type="paragraph" w:customStyle="1" w:styleId="158">
    <w:name w:val="样式 标题 1 + 左侧:  0 厘米 首行缩进:  0 厘米"/>
    <w:basedOn w:val="3"/>
    <w:qFormat/>
    <w:uiPriority w:val="0"/>
    <w:pPr>
      <w:tabs>
        <w:tab w:val="left" w:pos="432"/>
      </w:tabs>
      <w:overflowPunct/>
      <w:snapToGrid/>
      <w:spacing w:before="0" w:after="0" w:line="360" w:lineRule="auto"/>
      <w:ind w:left="0" w:firstLine="0"/>
      <w:jc w:val="left"/>
    </w:pPr>
    <w:rPr>
      <w:rFonts w:ascii="宋体" w:cs="宋体"/>
      <w:b w:val="0"/>
      <w:bCs w:val="0"/>
      <w:color w:val="auto"/>
      <w:kern w:val="2"/>
      <w:sz w:val="32"/>
      <w:szCs w:val="20"/>
    </w:rPr>
  </w:style>
  <w:style w:type="paragraph" w:customStyle="1" w:styleId="159">
    <w:name w:val="Char Char3 Char Char Char Char Char Char"/>
    <w:basedOn w:val="1"/>
    <w:qFormat/>
    <w:uiPriority w:val="0"/>
    <w:rPr>
      <w:sz w:val="24"/>
    </w:rPr>
  </w:style>
  <w:style w:type="paragraph" w:customStyle="1" w:styleId="16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161">
    <w:name w:val="reader-word-layer reader-word-s3-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62">
    <w:name w:val="Char Char3 Char Char1 Char Char Char Char Char Char"/>
    <w:basedOn w:val="1"/>
    <w:qFormat/>
    <w:uiPriority w:val="0"/>
    <w:rPr>
      <w:sz w:val="24"/>
    </w:rPr>
  </w:style>
  <w:style w:type="paragraph" w:customStyle="1" w:styleId="163">
    <w:name w:val="reader-word-layer reader-word-s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64">
    <w:name w:val="Char Char3"/>
    <w:basedOn w:val="1"/>
    <w:qFormat/>
    <w:uiPriority w:val="0"/>
    <w:rPr>
      <w:rFonts w:ascii="宋体"/>
      <w:sz w:val="28"/>
      <w:szCs w:val="20"/>
    </w:rPr>
  </w:style>
  <w:style w:type="paragraph" w:customStyle="1" w:styleId="165">
    <w:name w:val="Char Char1 Char Char Char Char1 Char Char"/>
    <w:basedOn w:val="1"/>
    <w:qFormat/>
    <w:uiPriority w:val="0"/>
    <w:rPr>
      <w:sz w:val="24"/>
    </w:rPr>
  </w:style>
  <w:style w:type="paragraph" w:customStyle="1" w:styleId="166">
    <w:name w:val="正文01"/>
    <w:basedOn w:val="1"/>
    <w:qFormat/>
    <w:uiPriority w:val="0"/>
    <w:pPr>
      <w:spacing w:before="40" w:line="420" w:lineRule="exact"/>
      <w:ind w:firstLine="200" w:firstLineChars="200"/>
    </w:pPr>
    <w:rPr>
      <w:bCs/>
      <w:sz w:val="24"/>
    </w:rPr>
  </w:style>
  <w:style w:type="paragraph" w:customStyle="1" w:styleId="167">
    <w:name w:val="reader-word-layer reader-word-s2-17"/>
    <w:basedOn w:val="1"/>
    <w:qFormat/>
    <w:uiPriority w:val="0"/>
    <w:pPr>
      <w:widowControl/>
      <w:spacing w:before="100" w:beforeAutospacing="1" w:after="100" w:afterAutospacing="1"/>
      <w:jc w:val="left"/>
    </w:pPr>
    <w:rPr>
      <w:rFonts w:ascii="宋体" w:hAnsi="宋体" w:cs="宋体"/>
      <w:kern w:val="0"/>
      <w:sz w:val="24"/>
    </w:rPr>
  </w:style>
  <w:style w:type="paragraph" w:customStyle="1" w:styleId="168">
    <w:name w:val="reader-word-layer reader-word-s1-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
    <w:name w:val="reader-word-layer reader-word-s4-6"/>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
    <w:name w:val="1"/>
    <w:basedOn w:val="1"/>
    <w:next w:val="11"/>
    <w:qFormat/>
    <w:uiPriority w:val="0"/>
    <w:pPr>
      <w:ind w:firstLine="420"/>
    </w:pPr>
    <w:rPr>
      <w:rFonts w:ascii="宋体"/>
      <w:sz w:val="26"/>
      <w:szCs w:val="20"/>
    </w:rPr>
  </w:style>
  <w:style w:type="paragraph" w:customStyle="1" w:styleId="171">
    <w:name w:val="reader-word-layer reader-word-s4-3 reader-word-s4-9 reader-word-s4-10"/>
    <w:basedOn w:val="1"/>
    <w:qFormat/>
    <w:uiPriority w:val="0"/>
    <w:pPr>
      <w:widowControl/>
      <w:spacing w:before="100" w:beforeAutospacing="1" w:after="100" w:afterAutospacing="1"/>
      <w:jc w:val="left"/>
    </w:pPr>
    <w:rPr>
      <w:rFonts w:ascii="宋体" w:hAnsi="宋体" w:cs="宋体"/>
      <w:kern w:val="0"/>
      <w:sz w:val="24"/>
    </w:rPr>
  </w:style>
  <w:style w:type="paragraph" w:customStyle="1" w:styleId="172">
    <w:name w:val="p28"/>
    <w:basedOn w:val="1"/>
    <w:qFormat/>
    <w:uiPriority w:val="0"/>
    <w:pPr>
      <w:widowControl/>
      <w:jc w:val="center"/>
    </w:pPr>
    <w:rPr>
      <w:rFonts w:ascii="仿宋_GB2312" w:hAnsi="宋体" w:eastAsia="仿宋_GB2312" w:cs="宋体"/>
      <w:kern w:val="0"/>
      <w:sz w:val="24"/>
    </w:rPr>
  </w:style>
  <w:style w:type="paragraph" w:customStyle="1" w:styleId="173">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74">
    <w:name w:val="reader-word-layer reader-word-s4-7"/>
    <w:basedOn w:val="1"/>
    <w:qFormat/>
    <w:uiPriority w:val="0"/>
    <w:pPr>
      <w:widowControl/>
      <w:spacing w:before="100" w:beforeAutospacing="1" w:after="100" w:afterAutospacing="1"/>
      <w:jc w:val="left"/>
    </w:pPr>
    <w:rPr>
      <w:rFonts w:ascii="宋体" w:hAnsi="宋体" w:cs="宋体"/>
      <w:kern w:val="0"/>
      <w:sz w:val="24"/>
    </w:rPr>
  </w:style>
  <w:style w:type="paragraph" w:customStyle="1" w:styleId="175">
    <w:name w:val="表格样式1"/>
    <w:basedOn w:val="1"/>
    <w:qFormat/>
    <w:uiPriority w:val="0"/>
    <w:pPr>
      <w:spacing w:line="360" w:lineRule="exact"/>
      <w:jc w:val="center"/>
    </w:pPr>
    <w:rPr>
      <w:rFonts w:eastAsia="仿宋_GB2312"/>
      <w:color w:val="000080"/>
    </w:rPr>
  </w:style>
  <w:style w:type="paragraph" w:customStyle="1" w:styleId="176">
    <w:name w:val="reader-word-layer reader-word-s1-16"/>
    <w:basedOn w:val="1"/>
    <w:qFormat/>
    <w:uiPriority w:val="0"/>
    <w:pPr>
      <w:widowControl/>
      <w:spacing w:before="100" w:beforeAutospacing="1" w:after="100" w:afterAutospacing="1"/>
      <w:jc w:val="left"/>
    </w:pPr>
    <w:rPr>
      <w:rFonts w:ascii="宋体" w:hAnsi="宋体" w:cs="宋体"/>
      <w:kern w:val="0"/>
      <w:sz w:val="24"/>
    </w:rPr>
  </w:style>
  <w:style w:type="paragraph" w:customStyle="1" w:styleId="177">
    <w:name w:val="reader-word-layer reader-word-s2-10 reader-word-s2-21"/>
    <w:basedOn w:val="1"/>
    <w:qFormat/>
    <w:uiPriority w:val="0"/>
    <w:pPr>
      <w:widowControl/>
      <w:spacing w:before="100" w:beforeAutospacing="1" w:after="100" w:afterAutospacing="1"/>
      <w:jc w:val="left"/>
    </w:pPr>
    <w:rPr>
      <w:rFonts w:ascii="宋体" w:hAnsi="宋体" w:cs="宋体"/>
      <w:kern w:val="0"/>
      <w:sz w:val="24"/>
    </w:rPr>
  </w:style>
  <w:style w:type="paragraph" w:customStyle="1" w:styleId="178">
    <w:name w:val="2"/>
    <w:basedOn w:val="1"/>
    <w:qFormat/>
    <w:uiPriority w:val="0"/>
    <w:rPr>
      <w:sz w:val="24"/>
    </w:rPr>
  </w:style>
  <w:style w:type="paragraph" w:customStyle="1" w:styleId="179">
    <w:name w:val="pic-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180">
    <w:name w:val="5"/>
    <w:basedOn w:val="1"/>
    <w:next w:val="11"/>
    <w:qFormat/>
    <w:uiPriority w:val="0"/>
    <w:pPr>
      <w:spacing w:line="500" w:lineRule="exact"/>
      <w:ind w:firstLine="420"/>
    </w:pPr>
    <w:rPr>
      <w:rFonts w:ascii="仿宋_GB2312" w:eastAsia="仿宋_GB2312"/>
      <w:sz w:val="28"/>
      <w:szCs w:val="20"/>
    </w:rPr>
  </w:style>
  <w:style w:type="paragraph" w:customStyle="1" w:styleId="181">
    <w:name w:val="表中正文"/>
    <w:basedOn w:val="1"/>
    <w:qFormat/>
    <w:uiPriority w:val="0"/>
    <w:pPr>
      <w:adjustRightInd w:val="0"/>
      <w:spacing w:line="360" w:lineRule="auto"/>
      <w:ind w:firstLine="200" w:firstLineChars="200"/>
      <w:jc w:val="left"/>
      <w:textAlignment w:val="baseline"/>
    </w:pPr>
  </w:style>
  <w:style w:type="paragraph" w:customStyle="1" w:styleId="182">
    <w:name w:val="Char Char3 Char Char2"/>
    <w:basedOn w:val="1"/>
    <w:qFormat/>
    <w:uiPriority w:val="0"/>
    <w:rPr>
      <w:sz w:val="24"/>
    </w:rPr>
  </w:style>
  <w:style w:type="paragraph" w:customStyle="1" w:styleId="183">
    <w:name w:val="Char Char3 Char Char1 Char Char"/>
    <w:basedOn w:val="1"/>
    <w:qFormat/>
    <w:uiPriority w:val="0"/>
    <w:rPr>
      <w:sz w:val="24"/>
    </w:rPr>
  </w:style>
  <w:style w:type="paragraph" w:customStyle="1" w:styleId="184">
    <w:name w:val="小四宋居中1.0"/>
    <w:basedOn w:val="1"/>
    <w:next w:val="1"/>
    <w:qFormat/>
    <w:uiPriority w:val="0"/>
    <w:pPr>
      <w:jc w:val="center"/>
    </w:pPr>
    <w:rPr>
      <w:rFonts w:ascii="仿宋_GB2312" w:eastAsia="仿宋_GB2312"/>
      <w:sz w:val="24"/>
      <w:szCs w:val="20"/>
    </w:rPr>
  </w:style>
  <w:style w:type="paragraph" w:customStyle="1" w:styleId="185">
    <w:name w:val="Char Char5"/>
    <w:basedOn w:val="1"/>
    <w:qFormat/>
    <w:uiPriority w:val="0"/>
    <w:rPr>
      <w:sz w:val="24"/>
    </w:rPr>
  </w:style>
  <w:style w:type="paragraph" w:customStyle="1" w:styleId="186">
    <w:name w:val="Char Char Char Char Char Char Char Char Char Char"/>
    <w:basedOn w:val="1"/>
    <w:qFormat/>
    <w:uiPriority w:val="0"/>
    <w:rPr>
      <w:rFonts w:ascii="黑体" w:hAnsi="黑体" w:eastAsia="黑体"/>
      <w:b/>
      <w:spacing w:val="10"/>
      <w:sz w:val="28"/>
      <w:szCs w:val="20"/>
    </w:rPr>
  </w:style>
  <w:style w:type="paragraph" w:customStyle="1" w:styleId="187">
    <w:name w:val="p0"/>
    <w:basedOn w:val="1"/>
    <w:qFormat/>
    <w:uiPriority w:val="0"/>
    <w:pPr>
      <w:widowControl/>
      <w:spacing w:line="500" w:lineRule="atLeast"/>
    </w:pPr>
    <w:rPr>
      <w:rFonts w:ascii="宋体" w:hAnsi="宋体" w:cs="宋体"/>
      <w:kern w:val="0"/>
      <w:sz w:val="28"/>
      <w:szCs w:val="28"/>
    </w:rPr>
  </w:style>
  <w:style w:type="paragraph" w:customStyle="1" w:styleId="188">
    <w:name w:val="reader-word-layer reader-word-s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9">
    <w:name w:val="reader-word-layer reader-word-s2-4"/>
    <w:basedOn w:val="1"/>
    <w:qFormat/>
    <w:uiPriority w:val="0"/>
    <w:pPr>
      <w:widowControl/>
      <w:spacing w:before="100" w:beforeAutospacing="1" w:after="100" w:afterAutospacing="1"/>
      <w:jc w:val="left"/>
    </w:pPr>
    <w:rPr>
      <w:rFonts w:ascii="宋体" w:hAnsi="宋体" w:cs="宋体"/>
      <w:kern w:val="0"/>
      <w:sz w:val="24"/>
    </w:rPr>
  </w:style>
  <w:style w:type="paragraph" w:customStyle="1" w:styleId="190">
    <w:name w:val="reader-word-layer reader-word-s1-12"/>
    <w:basedOn w:val="1"/>
    <w:qFormat/>
    <w:uiPriority w:val="0"/>
    <w:pPr>
      <w:widowControl/>
      <w:spacing w:before="100" w:beforeAutospacing="1" w:after="100" w:afterAutospacing="1"/>
      <w:jc w:val="left"/>
    </w:pPr>
    <w:rPr>
      <w:rFonts w:ascii="宋体" w:hAnsi="宋体" w:cs="宋体"/>
      <w:kern w:val="0"/>
      <w:sz w:val="24"/>
    </w:rPr>
  </w:style>
  <w:style w:type="paragraph" w:customStyle="1" w:styleId="191">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92">
    <w:name w:val="Char Char3 Char Char"/>
    <w:basedOn w:val="1"/>
    <w:qFormat/>
    <w:uiPriority w:val="0"/>
    <w:rPr>
      <w:rFonts w:ascii="宋体"/>
      <w:sz w:val="28"/>
      <w:szCs w:val="20"/>
    </w:rPr>
  </w:style>
  <w:style w:type="paragraph" w:customStyle="1" w:styleId="193">
    <w:name w:val="表格1"/>
    <w:basedOn w:val="20"/>
    <w:qFormat/>
    <w:uiPriority w:val="0"/>
    <w:pPr>
      <w:snapToGrid/>
      <w:spacing w:line="340" w:lineRule="exact"/>
      <w:jc w:val="center"/>
    </w:pPr>
    <w:rPr>
      <w:rFonts w:hAnsi="Times New Roman"/>
      <w:sz w:val="18"/>
    </w:rPr>
  </w:style>
  <w:style w:type="paragraph" w:customStyle="1" w:styleId="194">
    <w:name w:val="reader-word-layer reader-word-s2-12 reader-word-s2-18 reader-word-s2-2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5">
    <w:name w:val="reader-word-layer reader-word-s1-1"/>
    <w:basedOn w:val="1"/>
    <w:qFormat/>
    <w:uiPriority w:val="0"/>
    <w:pPr>
      <w:widowControl/>
      <w:spacing w:before="100" w:beforeAutospacing="1" w:after="100" w:afterAutospacing="1"/>
      <w:jc w:val="left"/>
    </w:pPr>
    <w:rPr>
      <w:rFonts w:ascii="宋体" w:hAnsi="宋体" w:cs="宋体"/>
      <w:kern w:val="0"/>
      <w:sz w:val="24"/>
    </w:rPr>
  </w:style>
  <w:style w:type="paragraph" w:customStyle="1" w:styleId="196">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97">
    <w:name w:val="Char Char1 Char Char Char Char"/>
    <w:basedOn w:val="1"/>
    <w:qFormat/>
    <w:uiPriority w:val="0"/>
    <w:rPr>
      <w:sz w:val="24"/>
    </w:rPr>
  </w:style>
  <w:style w:type="paragraph" w:customStyle="1" w:styleId="198">
    <w:name w:val="表表文字"/>
    <w:basedOn w:val="1"/>
    <w:qFormat/>
    <w:uiPriority w:val="0"/>
    <w:pPr>
      <w:wordWrap w:val="0"/>
      <w:adjustRightInd w:val="0"/>
      <w:snapToGrid w:val="0"/>
      <w:jc w:val="center"/>
    </w:pPr>
    <w:rPr>
      <w:kern w:val="0"/>
      <w:szCs w:val="21"/>
    </w:rPr>
  </w:style>
  <w:style w:type="paragraph" w:customStyle="1" w:styleId="199">
    <w:name w:val="reader-word-layer reader-word-s4-8"/>
    <w:basedOn w:val="1"/>
    <w:qFormat/>
    <w:uiPriority w:val="0"/>
    <w:pPr>
      <w:widowControl/>
      <w:spacing w:before="100" w:beforeAutospacing="1" w:after="100" w:afterAutospacing="1"/>
      <w:jc w:val="left"/>
    </w:pPr>
    <w:rPr>
      <w:rFonts w:ascii="宋体" w:hAnsi="宋体" w:cs="宋体"/>
      <w:kern w:val="0"/>
      <w:sz w:val="24"/>
    </w:rPr>
  </w:style>
  <w:style w:type="paragraph" w:customStyle="1" w:styleId="200">
    <w:name w:val="表标题"/>
    <w:basedOn w:val="16"/>
    <w:next w:val="16"/>
    <w:qFormat/>
    <w:uiPriority w:val="0"/>
    <w:pPr>
      <w:widowControl w:val="0"/>
      <w:spacing w:before="100" w:after="120" w:line="240" w:lineRule="auto"/>
      <w:ind w:right="0"/>
      <w:jc w:val="center"/>
    </w:pPr>
    <w:rPr>
      <w:b/>
      <w:sz w:val="21"/>
    </w:rPr>
  </w:style>
  <w:style w:type="paragraph" w:customStyle="1" w:styleId="201">
    <w:name w:val="－正文"/>
    <w:basedOn w:val="1"/>
    <w:qFormat/>
    <w:uiPriority w:val="0"/>
    <w:pPr>
      <w:spacing w:line="540" w:lineRule="atLeast"/>
      <w:ind w:firstLine="200"/>
      <w:jc w:val="left"/>
    </w:pPr>
    <w:rPr>
      <w:spacing w:val="8"/>
      <w:sz w:val="28"/>
      <w:szCs w:val="20"/>
    </w:rPr>
  </w:style>
  <w:style w:type="paragraph" w:customStyle="1" w:styleId="202">
    <w:name w:val="Char2"/>
    <w:basedOn w:val="1"/>
    <w:qFormat/>
    <w:uiPriority w:val="0"/>
    <w:rPr>
      <w:sz w:val="24"/>
    </w:rPr>
  </w:style>
  <w:style w:type="paragraph" w:customStyle="1" w:styleId="203">
    <w:name w:val="reader-word-layer reader-word-s3-6 reader-word-s3-13"/>
    <w:basedOn w:val="1"/>
    <w:qFormat/>
    <w:uiPriority w:val="0"/>
    <w:pPr>
      <w:widowControl/>
      <w:spacing w:before="100" w:beforeAutospacing="1" w:after="100" w:afterAutospacing="1"/>
      <w:jc w:val="left"/>
    </w:pPr>
    <w:rPr>
      <w:rFonts w:ascii="宋体" w:hAnsi="宋体" w:cs="宋体"/>
      <w:kern w:val="0"/>
      <w:sz w:val="24"/>
    </w:rPr>
  </w:style>
  <w:style w:type="paragraph" w:customStyle="1" w:styleId="204">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205">
    <w:name w:val="reader-word-layer reader-word-s2-23"/>
    <w:basedOn w:val="1"/>
    <w:qFormat/>
    <w:uiPriority w:val="0"/>
    <w:pPr>
      <w:widowControl/>
      <w:spacing w:before="100" w:beforeAutospacing="1" w:after="100" w:afterAutospacing="1"/>
      <w:jc w:val="left"/>
    </w:pPr>
    <w:rPr>
      <w:rFonts w:ascii="宋体" w:hAnsi="宋体" w:cs="宋体"/>
      <w:kern w:val="0"/>
      <w:sz w:val="24"/>
    </w:rPr>
  </w:style>
  <w:style w:type="paragraph" w:customStyle="1" w:styleId="206">
    <w:name w:val="7"/>
    <w:basedOn w:val="1"/>
    <w:qFormat/>
    <w:uiPriority w:val="0"/>
    <w:rPr>
      <w:rFonts w:ascii="宋体"/>
      <w:sz w:val="28"/>
      <w:szCs w:val="20"/>
    </w:rPr>
  </w:style>
  <w:style w:type="paragraph" w:customStyle="1" w:styleId="207">
    <w:name w:val="Char Char1 Char Char"/>
    <w:basedOn w:val="1"/>
    <w:qFormat/>
    <w:uiPriority w:val="0"/>
    <w:rPr>
      <w:sz w:val="24"/>
    </w:rPr>
  </w:style>
  <w:style w:type="paragraph" w:customStyle="1" w:styleId="208">
    <w:name w:val="Char Char1"/>
    <w:basedOn w:val="1"/>
    <w:qFormat/>
    <w:uiPriority w:val="0"/>
  </w:style>
  <w:style w:type="paragraph" w:customStyle="1" w:styleId="209">
    <w:name w:val="reader-word-layer reader-word-s3-12"/>
    <w:basedOn w:val="1"/>
    <w:qFormat/>
    <w:uiPriority w:val="0"/>
    <w:pPr>
      <w:widowControl/>
      <w:spacing w:before="100" w:beforeAutospacing="1" w:after="100" w:afterAutospacing="1"/>
      <w:jc w:val="left"/>
    </w:pPr>
    <w:rPr>
      <w:rFonts w:ascii="宋体" w:hAnsi="宋体" w:cs="宋体"/>
      <w:kern w:val="0"/>
      <w:sz w:val="24"/>
    </w:rPr>
  </w:style>
  <w:style w:type="paragraph" w:customStyle="1" w:styleId="210">
    <w:name w:val="_Style 55"/>
    <w:basedOn w:val="1"/>
    <w:qFormat/>
    <w:uiPriority w:val="0"/>
    <w:rPr>
      <w:sz w:val="24"/>
    </w:rPr>
  </w:style>
  <w:style w:type="paragraph" w:customStyle="1" w:styleId="211">
    <w:name w:val="Char Char1 Char Char Char Char Char Char"/>
    <w:basedOn w:val="1"/>
    <w:qFormat/>
    <w:uiPriority w:val="0"/>
    <w:rPr>
      <w:sz w:val="24"/>
    </w:rPr>
  </w:style>
  <w:style w:type="paragraph" w:customStyle="1" w:styleId="212">
    <w:name w:val="Char Char1 Char Char Char Char Char Char2"/>
    <w:basedOn w:val="1"/>
    <w:qFormat/>
    <w:uiPriority w:val="0"/>
    <w:rPr>
      <w:sz w:val="24"/>
    </w:rPr>
  </w:style>
  <w:style w:type="paragraph" w:customStyle="1" w:styleId="213">
    <w:name w:val="Char Char1 Char Char Char Char Char Char1"/>
    <w:basedOn w:val="1"/>
    <w:qFormat/>
    <w:uiPriority w:val="0"/>
    <w:rPr>
      <w:sz w:val="24"/>
    </w:rPr>
  </w:style>
  <w:style w:type="character" w:customStyle="1" w:styleId="214">
    <w:name w:val="纯文本 Char2"/>
    <w:qFormat/>
    <w:uiPriority w:val="0"/>
    <w:rPr>
      <w:rFonts w:ascii="宋体" w:hAnsi="Courier New" w:eastAsia="宋体"/>
      <w:kern w:val="2"/>
      <w:sz w:val="24"/>
      <w:lang w:val="en-US" w:eastAsia="zh-CN" w:bidi="ar-SA"/>
    </w:rPr>
  </w:style>
  <w:style w:type="paragraph" w:customStyle="1" w:styleId="215">
    <w:name w:val="_Style 13"/>
    <w:basedOn w:val="1"/>
    <w:qFormat/>
    <w:uiPriority w:val="0"/>
    <w:rPr>
      <w:sz w:val="24"/>
    </w:rPr>
  </w:style>
  <w:style w:type="character" w:styleId="216">
    <w:name w:val="Placeholder Text"/>
    <w:unhideWhenUsed/>
    <w:qFormat/>
    <w:uiPriority w:val="99"/>
    <w:rPr>
      <w:color w:val="808080"/>
    </w:rPr>
  </w:style>
  <w:style w:type="character" w:customStyle="1" w:styleId="217">
    <w:name w:val="正文文本缩进 2 Char"/>
    <w:qFormat/>
    <w:uiPriority w:val="0"/>
    <w:rPr>
      <w:rFonts w:ascii="楷体_GB2312" w:eastAsia="楷体_GB2312"/>
      <w:kern w:val="2"/>
      <w:sz w:val="21"/>
      <w:szCs w:val="24"/>
    </w:rPr>
  </w:style>
  <w:style w:type="paragraph" w:customStyle="1" w:styleId="218">
    <w:name w:val="Char Char9 Char Char"/>
    <w:basedOn w:val="1"/>
    <w:qFormat/>
    <w:uiPriority w:val="0"/>
    <w:rPr>
      <w:sz w:val="24"/>
    </w:rPr>
  </w:style>
  <w:style w:type="paragraph" w:customStyle="1" w:styleId="219">
    <w:name w:val="Table Paragraph"/>
    <w:basedOn w:val="1"/>
    <w:qFormat/>
    <w:uiPriority w:val="1"/>
    <w:pPr>
      <w:autoSpaceDE w:val="0"/>
      <w:autoSpaceDN w:val="0"/>
      <w:adjustRightInd w:val="0"/>
      <w:jc w:val="center"/>
    </w:pPr>
    <w:rPr>
      <w:rFonts w:ascii="宋体" w:cs="宋体"/>
      <w:kern w:val="0"/>
      <w:sz w:val="24"/>
    </w:rPr>
  </w:style>
  <w:style w:type="character" w:customStyle="1" w:styleId="220">
    <w:name w:val="正文缩进 Char2"/>
    <w:qFormat/>
    <w:uiPriority w:val="0"/>
    <w:rPr>
      <w:rFonts w:eastAsia="宋体"/>
      <w:kern w:val="2"/>
      <w:sz w:val="21"/>
      <w:szCs w:val="24"/>
      <w:lang w:val="en-US" w:eastAsia="zh-CN" w:bidi="ar-SA"/>
    </w:rPr>
  </w:style>
  <w:style w:type="paragraph" w:customStyle="1" w:styleId="221">
    <w:name w:val="Char Char1 Char Char Char Char1 Char Char Char Char Char Char"/>
    <w:basedOn w:val="1"/>
    <w:qFormat/>
    <w:uiPriority w:val="0"/>
    <w:rPr>
      <w:sz w:val="24"/>
    </w:rPr>
  </w:style>
  <w:style w:type="character" w:customStyle="1" w:styleId="222">
    <w:name w:val="big"/>
    <w:basedOn w:val="38"/>
    <w:qFormat/>
    <w:uiPriority w:val="0"/>
  </w:style>
  <w:style w:type="paragraph" w:customStyle="1" w:styleId="223">
    <w:name w:val="表头图名"/>
    <w:basedOn w:val="1"/>
    <w:qFormat/>
    <w:uiPriority w:val="0"/>
    <w:pPr>
      <w:jc w:val="center"/>
    </w:pPr>
    <w:rPr>
      <w:rFonts w:eastAsia="仿宋_GB2312"/>
      <w:b/>
      <w:szCs w:val="21"/>
    </w:rPr>
  </w:style>
  <w:style w:type="paragraph" w:customStyle="1" w:styleId="224">
    <w:name w:val="表内"/>
    <w:basedOn w:val="1"/>
    <w:qFormat/>
    <w:uiPriority w:val="0"/>
    <w:pPr>
      <w:jc w:val="center"/>
    </w:pPr>
    <w:rPr>
      <w:rFonts w:eastAsia="仿宋_GB2312"/>
      <w:szCs w:val="21"/>
    </w:rPr>
  </w:style>
  <w:style w:type="paragraph" w:customStyle="1" w:styleId="225">
    <w:name w:val="Table Text"/>
    <w:basedOn w:val="1"/>
    <w:semiHidden/>
    <w:qFormat/>
    <w:uiPriority w:val="0"/>
    <w:rPr>
      <w:rFonts w:ascii="宋体" w:hAnsi="宋体" w:cs="宋体"/>
      <w:sz w:val="21"/>
      <w:szCs w:val="21"/>
      <w:lang w:eastAsia="en-US"/>
    </w:rPr>
  </w:style>
  <w:style w:type="character" w:customStyle="1" w:styleId="226">
    <w:name w:val="font31"/>
    <w:basedOn w:val="38"/>
    <w:qFormat/>
    <w:uiPriority w:val="0"/>
    <w:rPr>
      <w:rFonts w:hint="eastAsia" w:ascii="宋体" w:hAnsi="宋体" w:eastAsia="宋体" w:cs="宋体"/>
      <w:color w:val="000000"/>
      <w:sz w:val="21"/>
      <w:szCs w:val="21"/>
      <w:u w:val="none"/>
    </w:rPr>
  </w:style>
  <w:style w:type="character" w:customStyle="1" w:styleId="227">
    <w:name w:val="font11"/>
    <w:basedOn w:val="38"/>
    <w:qFormat/>
    <w:uiPriority w:val="0"/>
    <w:rPr>
      <w:rFonts w:hint="eastAsia" w:ascii="宋体" w:hAnsi="宋体" w:eastAsia="宋体" w:cs="宋体"/>
      <w:color w:val="000000"/>
      <w:sz w:val="21"/>
      <w:szCs w:val="21"/>
      <w:u w:val="none"/>
    </w:rPr>
  </w:style>
  <w:style w:type="character" w:customStyle="1" w:styleId="228">
    <w:name w:val="font41"/>
    <w:basedOn w:val="38"/>
    <w:qFormat/>
    <w:uiPriority w:val="0"/>
    <w:rPr>
      <w:rFonts w:hint="eastAsia" w:ascii="宋体" w:hAnsi="宋体" w:eastAsia="宋体" w:cs="宋体"/>
      <w:color w:val="000000"/>
      <w:sz w:val="21"/>
      <w:szCs w:val="21"/>
      <w:u w:val="none"/>
      <w:vertAlign w:val="superscript"/>
    </w:rPr>
  </w:style>
  <w:style w:type="character" w:customStyle="1" w:styleId="229">
    <w:name w:val="font21"/>
    <w:basedOn w:val="38"/>
    <w:qFormat/>
    <w:uiPriority w:val="0"/>
    <w:rPr>
      <w:rFonts w:hint="default" w:ascii="Times New Roman" w:hAnsi="Times New Roman" w:cs="Times New Roman"/>
      <w:color w:val="000000"/>
      <w:sz w:val="21"/>
      <w:szCs w:val="21"/>
      <w:u w:val="none"/>
    </w:rPr>
  </w:style>
  <w:style w:type="paragraph" w:customStyle="1" w:styleId="230">
    <w:name w:val="表正文"/>
    <w:basedOn w:val="1"/>
    <w:qFormat/>
    <w:uiPriority w:val="0"/>
    <w:pPr>
      <w:autoSpaceDE w:val="0"/>
      <w:autoSpaceDN w:val="0"/>
      <w:adjustRightInd w:val="0"/>
      <w:snapToGrid w:val="0"/>
      <w:spacing w:line="360" w:lineRule="auto"/>
      <w:ind w:firstLine="200" w:firstLineChars="200"/>
    </w:pPr>
    <w:rPr>
      <w:kern w:val="0"/>
      <w:sz w:val="24"/>
    </w:rPr>
  </w:style>
  <w:style w:type="paragraph" w:customStyle="1" w:styleId="231">
    <w:name w:val="xl7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Courier New" w:hAnsi="Courier New" w:eastAsia="Arial Unicode MS"/>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wmf"/><Relationship Id="rId17" Type="http://schemas.openxmlformats.org/officeDocument/2006/relationships/oleObject" Target="embeddings/oleObject4.bin"/><Relationship Id="rId16" Type="http://schemas.openxmlformats.org/officeDocument/2006/relationships/image" Target="media/image8.wmf"/><Relationship Id="rId15" Type="http://schemas.openxmlformats.org/officeDocument/2006/relationships/oleObject" Target="embeddings/oleObject3.bin"/><Relationship Id="rId14" Type="http://schemas.openxmlformats.org/officeDocument/2006/relationships/image" Target="media/image7.wmf"/><Relationship Id="rId13" Type="http://schemas.openxmlformats.org/officeDocument/2006/relationships/oleObject" Target="embeddings/oleObject2.bin"/><Relationship Id="rId12" Type="http://schemas.openxmlformats.org/officeDocument/2006/relationships/image" Target="media/image6.wmf"/><Relationship Id="rId11" Type="http://schemas.openxmlformats.org/officeDocument/2006/relationships/oleObject" Target="embeddings/oleObject1.bin"/><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26F59-863C-41D8-8E63-E3F0AAC11D1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85</Pages>
  <Words>23402</Words>
  <Characters>24385</Characters>
  <Lines>423</Lines>
  <Paragraphs>119</Paragraphs>
  <TotalTime>1470</TotalTime>
  <ScaleCrop>false</ScaleCrop>
  <LinksUpToDate>false</LinksUpToDate>
  <CharactersWithSpaces>24493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2025-04-11T06:22:00Z</dcterms:created>
  <dc:creator>Administrator</dc:creator>
  <cp:lastModifiedBy>jrn 2025.5.27</cp:lastModifiedBy>
  <cp:lastPrinted>2025-07-02T07:29:00Z</cp:lastPrinted>
  <dcterms:modified xsi:type="dcterms:W3CDTF">2025-07-02T07:54:44Z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4C60CB3945A6437FA76E7F0720538288_13</vt:lpwstr>
  </property>
  <property fmtid="{D5CDD505-2E9C-101B-9397-08002B2CF9AE}" pid="4" name="KSOTemplateDocerSaveRecord">
    <vt:lpwstr>eyJoZGlkIjoiOWZhNDkyNmMxZjFhZmRjYmUwNDY0YTUyNzlkOTUwZjEiLCJ1c2VySWQiOiIxMDIwNDQ1MTY5In0=</vt:lpwstr>
  </property>
</Properties>
</file>